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E3077C" w14:textId="77777777" w:rsidR="008E220F" w:rsidRDefault="008E220F" w:rsidP="008E220F">
      <w:pPr>
        <w:jc w:val="center"/>
        <w:rPr>
          <w:rFonts w:ascii="Verdana" w:hAnsi="Verdana"/>
          <w:b/>
          <w:bCs/>
          <w:i/>
          <w:iCs/>
          <w:color w:val="0000FF"/>
          <w:sz w:val="26"/>
          <w:szCs w:val="26"/>
        </w:rPr>
      </w:pPr>
      <w:r>
        <w:rPr>
          <w:rFonts w:ascii="Verdana" w:hAnsi="Verdana"/>
          <w:b/>
          <w:bCs/>
          <w:i/>
          <w:iCs/>
          <w:color w:val="0000FF"/>
          <w:sz w:val="26"/>
          <w:szCs w:val="26"/>
        </w:rPr>
        <w:t> </w:t>
      </w:r>
    </w:p>
    <w:tbl>
      <w:tblPr>
        <w:tblW w:w="9072" w:type="dxa"/>
        <w:tblBorders>
          <w:top w:val="single" w:sz="2" w:space="0" w:color="0000FF"/>
          <w:left w:val="single" w:sz="2" w:space="0" w:color="0000FF"/>
          <w:bottom w:val="single" w:sz="2" w:space="0" w:color="0000FF"/>
          <w:right w:val="single" w:sz="2" w:space="0" w:color="0000FF"/>
        </w:tblBorders>
        <w:tblCellMar>
          <w:top w:w="15" w:type="dxa"/>
          <w:left w:w="15" w:type="dxa"/>
          <w:bottom w:w="15" w:type="dxa"/>
          <w:right w:w="15" w:type="dxa"/>
        </w:tblCellMar>
        <w:tblLook w:val="04A0" w:firstRow="1" w:lastRow="0" w:firstColumn="1" w:lastColumn="0" w:noHBand="0" w:noVBand="1"/>
      </w:tblPr>
      <w:tblGrid>
        <w:gridCol w:w="4536"/>
        <w:gridCol w:w="4536"/>
      </w:tblGrid>
      <w:tr w:rsidR="008E220F" w14:paraId="582C0C18" w14:textId="77777777" w:rsidTr="008E220F">
        <w:tc>
          <w:tcPr>
            <w:tcW w:w="2500" w:type="pct"/>
            <w:tcBorders>
              <w:left w:val="single" w:sz="2" w:space="0" w:color="0000FF"/>
            </w:tcBorders>
            <w:tcMar>
              <w:top w:w="15" w:type="dxa"/>
              <w:left w:w="240" w:type="dxa"/>
              <w:bottom w:w="15" w:type="dxa"/>
              <w:right w:w="15" w:type="dxa"/>
            </w:tcMar>
            <w:hideMark/>
          </w:tcPr>
          <w:p w14:paraId="2DA32678" w14:textId="7EA913CD" w:rsidR="008E220F" w:rsidRDefault="008E220F" w:rsidP="008E220F">
            <w:pPr>
              <w:numPr>
                <w:ilvl w:val="0"/>
                <w:numId w:val="33"/>
              </w:numPr>
              <w:spacing w:before="100" w:beforeAutospacing="1" w:after="100" w:afterAutospacing="1" w:line="240" w:lineRule="auto"/>
              <w:rPr>
                <w:rFonts w:ascii="Arial" w:hAnsi="Arial" w:cs="Arial"/>
                <w:color w:val="0000FF"/>
                <w:sz w:val="24"/>
                <w:szCs w:val="24"/>
              </w:rPr>
            </w:pPr>
            <w:hyperlink w:anchor="a1" w:history="1">
              <w:r>
                <w:rPr>
                  <w:rStyle w:val="Lienhypertexte"/>
                  <w:rFonts w:ascii="Arial" w:hAnsi="Arial" w:cs="Arial"/>
                </w:rPr>
                <w:t>Introduction</w:t>
              </w:r>
            </w:hyperlink>
          </w:p>
          <w:p w14:paraId="67079E56" w14:textId="7388D398" w:rsidR="008E220F" w:rsidRDefault="008E220F" w:rsidP="008E220F">
            <w:pPr>
              <w:numPr>
                <w:ilvl w:val="0"/>
                <w:numId w:val="33"/>
              </w:numPr>
              <w:spacing w:before="100" w:beforeAutospacing="1" w:after="100" w:afterAutospacing="1" w:line="240" w:lineRule="auto"/>
              <w:rPr>
                <w:rFonts w:ascii="Arial" w:hAnsi="Arial" w:cs="Arial"/>
                <w:color w:val="0000FF"/>
              </w:rPr>
            </w:pPr>
            <w:hyperlink w:anchor="a2" w:history="1">
              <w:r>
                <w:rPr>
                  <w:rStyle w:val="Lienhypertexte"/>
                  <w:rFonts w:ascii="Arial" w:hAnsi="Arial" w:cs="Arial"/>
                </w:rPr>
                <w:t>Distinction entre location simple, location de ressources et crédit-bail</w:t>
              </w:r>
            </w:hyperlink>
          </w:p>
          <w:p w14:paraId="2A5233CB" w14:textId="5C0BE84C" w:rsidR="008E220F" w:rsidRDefault="008E220F" w:rsidP="008E220F">
            <w:pPr>
              <w:numPr>
                <w:ilvl w:val="0"/>
                <w:numId w:val="33"/>
              </w:numPr>
              <w:spacing w:before="100" w:beforeAutospacing="1" w:after="100" w:afterAutospacing="1" w:line="240" w:lineRule="auto"/>
              <w:rPr>
                <w:rFonts w:ascii="Arial" w:hAnsi="Arial" w:cs="Arial"/>
                <w:color w:val="0000FF"/>
              </w:rPr>
            </w:pPr>
            <w:hyperlink w:anchor="a3" w:history="1">
              <w:r>
                <w:rPr>
                  <w:rStyle w:val="Lienhypertexte"/>
                  <w:rFonts w:ascii="Arial" w:hAnsi="Arial" w:cs="Arial"/>
                </w:rPr>
                <w:t>Location simple</w:t>
              </w:r>
            </w:hyperlink>
          </w:p>
          <w:p w14:paraId="2E99B176" w14:textId="513C4330" w:rsidR="008E220F" w:rsidRDefault="008E220F" w:rsidP="008E220F">
            <w:pPr>
              <w:numPr>
                <w:ilvl w:val="0"/>
                <w:numId w:val="33"/>
              </w:numPr>
              <w:spacing w:before="100" w:beforeAutospacing="1" w:after="100" w:afterAutospacing="1" w:line="240" w:lineRule="auto"/>
              <w:rPr>
                <w:rFonts w:ascii="Arial" w:hAnsi="Arial" w:cs="Arial"/>
                <w:color w:val="0000FF"/>
              </w:rPr>
            </w:pPr>
            <w:hyperlink w:anchor="a4" w:history="1">
              <w:r>
                <w:rPr>
                  <w:rStyle w:val="Lienhypertexte"/>
                  <w:rFonts w:ascii="Arial" w:hAnsi="Arial" w:cs="Arial"/>
                </w:rPr>
                <w:t>Crédit-bail</w:t>
              </w:r>
            </w:hyperlink>
          </w:p>
          <w:p w14:paraId="5939D6FB" w14:textId="195E34E2" w:rsidR="008E220F" w:rsidRDefault="008E220F" w:rsidP="008E220F">
            <w:pPr>
              <w:numPr>
                <w:ilvl w:val="0"/>
                <w:numId w:val="33"/>
              </w:numPr>
              <w:spacing w:before="100" w:beforeAutospacing="1" w:after="100" w:afterAutospacing="1" w:line="240" w:lineRule="auto"/>
              <w:rPr>
                <w:rFonts w:ascii="Arial" w:hAnsi="Arial" w:cs="Arial"/>
                <w:color w:val="0000FF"/>
              </w:rPr>
            </w:pPr>
            <w:hyperlink w:anchor="a5" w:history="1">
              <w:r>
                <w:rPr>
                  <w:rStyle w:val="Lienhypertexte"/>
                  <w:rFonts w:ascii="Arial" w:hAnsi="Arial" w:cs="Arial"/>
                </w:rPr>
                <w:t>Location de ressources</w:t>
              </w:r>
            </w:hyperlink>
          </w:p>
          <w:p w14:paraId="1AF9303B" w14:textId="6A09102C" w:rsidR="008E220F" w:rsidRDefault="008E220F" w:rsidP="008E220F">
            <w:pPr>
              <w:numPr>
                <w:ilvl w:val="0"/>
                <w:numId w:val="33"/>
              </w:numPr>
              <w:spacing w:before="100" w:beforeAutospacing="1" w:after="100" w:afterAutospacing="1" w:line="240" w:lineRule="auto"/>
              <w:rPr>
                <w:rFonts w:ascii="Arial" w:hAnsi="Arial" w:cs="Arial"/>
                <w:color w:val="0000FF"/>
              </w:rPr>
            </w:pPr>
            <w:hyperlink w:anchor="a6" w:history="1">
              <w:r>
                <w:rPr>
                  <w:rStyle w:val="Lienhypertexte"/>
                  <w:rFonts w:ascii="Arial" w:hAnsi="Arial" w:cs="Arial"/>
                </w:rPr>
                <w:t>Permis d’utiliser des ressources naturelles</w:t>
              </w:r>
            </w:hyperlink>
          </w:p>
        </w:tc>
        <w:tc>
          <w:tcPr>
            <w:tcW w:w="2500" w:type="pct"/>
            <w:tcBorders>
              <w:left w:val="single" w:sz="2" w:space="0" w:color="0000FF"/>
            </w:tcBorders>
            <w:tcMar>
              <w:top w:w="15" w:type="dxa"/>
              <w:left w:w="240" w:type="dxa"/>
              <w:bottom w:w="15" w:type="dxa"/>
              <w:right w:w="15" w:type="dxa"/>
            </w:tcMar>
            <w:hideMark/>
          </w:tcPr>
          <w:p w14:paraId="64BC0120" w14:textId="0A02C8A3" w:rsidR="008E220F" w:rsidRDefault="008E220F" w:rsidP="008E220F">
            <w:pPr>
              <w:numPr>
                <w:ilvl w:val="0"/>
                <w:numId w:val="34"/>
              </w:numPr>
              <w:spacing w:before="100" w:beforeAutospacing="1" w:after="100" w:afterAutospacing="1" w:line="240" w:lineRule="auto"/>
              <w:rPr>
                <w:rFonts w:ascii="Arial" w:hAnsi="Arial" w:cs="Arial"/>
                <w:color w:val="0000FF"/>
              </w:rPr>
            </w:pPr>
            <w:hyperlink w:anchor="a7" w:history="1">
              <w:r>
                <w:rPr>
                  <w:rStyle w:val="Lienhypertexte"/>
                  <w:rFonts w:ascii="Arial" w:hAnsi="Arial" w:cs="Arial"/>
                </w:rPr>
                <w:t>Permis d’entreprendre une activité particulière</w:t>
              </w:r>
            </w:hyperlink>
          </w:p>
          <w:p w14:paraId="1B842396" w14:textId="4C70E76A" w:rsidR="008E220F" w:rsidRDefault="008E220F" w:rsidP="008E220F">
            <w:pPr>
              <w:numPr>
                <w:ilvl w:val="0"/>
                <w:numId w:val="34"/>
              </w:numPr>
              <w:spacing w:before="100" w:beforeAutospacing="1" w:after="100" w:afterAutospacing="1" w:line="240" w:lineRule="auto"/>
              <w:rPr>
                <w:rFonts w:ascii="Arial" w:hAnsi="Arial" w:cs="Arial"/>
                <w:color w:val="0000FF"/>
              </w:rPr>
            </w:pPr>
            <w:hyperlink w:anchor="a8" w:history="1">
              <w:r>
                <w:rPr>
                  <w:rStyle w:val="Lienhypertexte"/>
                  <w:rFonts w:ascii="Arial" w:hAnsi="Arial" w:cs="Arial"/>
                </w:rPr>
                <w:t>Partenariats public-privé (PPP)</w:t>
              </w:r>
            </w:hyperlink>
          </w:p>
          <w:p w14:paraId="3755E7BE" w14:textId="5CB866A3" w:rsidR="008E220F" w:rsidRDefault="008E220F" w:rsidP="008E220F">
            <w:pPr>
              <w:numPr>
                <w:ilvl w:val="0"/>
                <w:numId w:val="34"/>
              </w:numPr>
              <w:spacing w:before="100" w:beforeAutospacing="1" w:after="100" w:afterAutospacing="1" w:line="240" w:lineRule="auto"/>
              <w:rPr>
                <w:rFonts w:ascii="Arial" w:hAnsi="Arial" w:cs="Arial"/>
                <w:color w:val="0000FF"/>
              </w:rPr>
            </w:pPr>
            <w:hyperlink w:anchor="a9" w:history="1">
              <w:r>
                <w:rPr>
                  <w:rStyle w:val="Lienhypertexte"/>
                  <w:rFonts w:ascii="Arial" w:hAnsi="Arial" w:cs="Arial"/>
                </w:rPr>
                <w:t>Contrats de concession de services</w:t>
              </w:r>
            </w:hyperlink>
          </w:p>
          <w:p w14:paraId="75A82AFA" w14:textId="32DE852E" w:rsidR="008E220F" w:rsidRDefault="008E220F" w:rsidP="008E220F">
            <w:pPr>
              <w:numPr>
                <w:ilvl w:val="0"/>
                <w:numId w:val="34"/>
              </w:numPr>
              <w:spacing w:before="100" w:beforeAutospacing="1" w:after="100" w:afterAutospacing="1" w:line="240" w:lineRule="auto"/>
              <w:rPr>
                <w:rFonts w:ascii="Arial" w:hAnsi="Arial" w:cs="Arial"/>
                <w:color w:val="0000FF"/>
              </w:rPr>
            </w:pPr>
            <w:hyperlink w:anchor="a10" w:history="1">
              <w:r>
                <w:rPr>
                  <w:rStyle w:val="Lienhypertexte"/>
                  <w:rFonts w:ascii="Arial" w:hAnsi="Arial" w:cs="Arial"/>
                </w:rPr>
                <w:t>Licences d’exploitation transférables (AN.221)</w:t>
              </w:r>
            </w:hyperlink>
          </w:p>
          <w:p w14:paraId="4F85B98C" w14:textId="3CB8AC50" w:rsidR="008E220F" w:rsidRDefault="008E220F" w:rsidP="008E220F">
            <w:pPr>
              <w:numPr>
                <w:ilvl w:val="0"/>
                <w:numId w:val="34"/>
              </w:numPr>
              <w:spacing w:before="100" w:beforeAutospacing="1" w:after="100" w:afterAutospacing="1" w:line="240" w:lineRule="auto"/>
              <w:rPr>
                <w:rFonts w:ascii="Arial" w:hAnsi="Arial" w:cs="Arial"/>
                <w:color w:val="0000FF"/>
              </w:rPr>
            </w:pPr>
            <w:hyperlink w:anchor="a11" w:history="1">
              <w:r>
                <w:rPr>
                  <w:rStyle w:val="Lienhypertexte"/>
                  <w:rFonts w:ascii="Arial" w:hAnsi="Arial" w:cs="Arial"/>
                </w:rPr>
                <w:t>Droits d’exclusivité sur des biens et services futurs (AN.224)</w:t>
              </w:r>
            </w:hyperlink>
          </w:p>
        </w:tc>
      </w:tr>
    </w:tbl>
    <w:p w14:paraId="2CD8E590" w14:textId="77777777" w:rsidR="008E220F" w:rsidRDefault="008E220F" w:rsidP="008E220F">
      <w:pPr>
        <w:pStyle w:val="Titre1"/>
        <w:jc w:val="center"/>
        <w:rPr>
          <w:rFonts w:ascii="Verdana" w:hAnsi="Verdana"/>
          <w:color w:val="FF0000"/>
          <w:sz w:val="29"/>
          <w:szCs w:val="29"/>
        </w:rPr>
      </w:pPr>
      <w:r>
        <w:rPr>
          <w:rFonts w:ascii="Verdana" w:hAnsi="Verdana"/>
          <w:color w:val="FF0000"/>
          <w:sz w:val="29"/>
          <w:szCs w:val="29"/>
        </w:rPr>
        <w:t>Le Système européen des comptes SEC 2010</w:t>
      </w:r>
    </w:p>
    <w:p w14:paraId="17EB8DEC" w14:textId="77777777" w:rsidR="008E220F" w:rsidRDefault="008E220F" w:rsidP="008E220F">
      <w:pPr>
        <w:pStyle w:val="Titre1"/>
        <w:jc w:val="center"/>
        <w:rPr>
          <w:rFonts w:ascii="Verdana" w:hAnsi="Verdana"/>
          <w:color w:val="FF0000"/>
          <w:sz w:val="29"/>
          <w:szCs w:val="29"/>
        </w:rPr>
      </w:pPr>
      <w:r>
        <w:rPr>
          <w:rFonts w:ascii="Verdana" w:hAnsi="Verdana"/>
          <w:color w:val="FF0000"/>
          <w:sz w:val="29"/>
          <w:szCs w:val="29"/>
        </w:rPr>
        <w:t>CHAPITRE 15 Contrats, baux et licences</w:t>
      </w:r>
    </w:p>
    <w:p w14:paraId="42B04A96" w14:textId="77777777" w:rsidR="008E220F" w:rsidRDefault="008E220F" w:rsidP="008E220F">
      <w:pPr>
        <w:pStyle w:val="Titre2"/>
        <w:shd w:val="clear" w:color="auto" w:fill="3300FF"/>
        <w:rPr>
          <w:rFonts w:ascii="Verdana" w:hAnsi="Verdana"/>
          <w:color w:val="FFFFFF"/>
          <w:sz w:val="26"/>
          <w:szCs w:val="26"/>
        </w:rPr>
      </w:pPr>
      <w:bookmarkStart w:id="0" w:name="a1"/>
      <w:bookmarkEnd w:id="0"/>
      <w:r>
        <w:rPr>
          <w:rFonts w:ascii="Verdana" w:hAnsi="Verdana"/>
          <w:color w:val="FFFFFF"/>
          <w:sz w:val="26"/>
          <w:szCs w:val="26"/>
        </w:rPr>
        <w:t>Introduction</w:t>
      </w:r>
    </w:p>
    <w:p w14:paraId="002A2AA6" w14:textId="77777777" w:rsidR="008E220F" w:rsidRDefault="008E220F" w:rsidP="008E220F">
      <w:pPr>
        <w:pStyle w:val="NormalWeb"/>
        <w:ind w:left="240" w:right="240" w:firstLine="240"/>
        <w:jc w:val="both"/>
        <w:rPr>
          <w:rFonts w:ascii="Verdana" w:hAnsi="Verdana"/>
          <w:color w:val="000000"/>
          <w:sz w:val="27"/>
          <w:szCs w:val="27"/>
        </w:rPr>
      </w:pPr>
      <w:r>
        <w:rPr>
          <w:rFonts w:ascii="Verdana" w:hAnsi="Verdana"/>
          <w:color w:val="000000"/>
          <w:sz w:val="27"/>
          <w:szCs w:val="27"/>
        </w:rPr>
        <w:t>15.01 Les contrats sont des arrangements concernant les conditions dans lesquelles des biens, des services et des actifs sont fournis au client. Les contrats représentant des ventes directes de biens, de services ou d’actifs déterminent la valeur et le moment d’enregistrement de l’opération, à savoir le changement de propriété s’il s’agit de biens. La différence entre le moment du paiement et le moment de l’enregistrement se traduit par des écritures enregistrées dans le compte financier dans le poste des autres comptes à recevoir ou à payer.</w:t>
      </w:r>
    </w:p>
    <w:p w14:paraId="6CB2C0B9" w14:textId="77777777" w:rsidR="008E220F" w:rsidRDefault="008E220F" w:rsidP="008E220F">
      <w:pPr>
        <w:pStyle w:val="NormalWeb"/>
        <w:ind w:left="240" w:right="240" w:firstLine="240"/>
        <w:jc w:val="both"/>
        <w:rPr>
          <w:rFonts w:ascii="Verdana" w:hAnsi="Verdana"/>
          <w:color w:val="000000"/>
          <w:sz w:val="27"/>
          <w:szCs w:val="27"/>
        </w:rPr>
      </w:pPr>
      <w:r>
        <w:rPr>
          <w:rFonts w:ascii="Verdana" w:hAnsi="Verdana"/>
          <w:color w:val="000000"/>
          <w:sz w:val="27"/>
          <w:szCs w:val="27"/>
        </w:rPr>
        <w:t>15.02 Les baux, les licences et les permis sont des contrats qui déterminent le classement des paiements et la propriété économique des actifs; certains contrats représentent un type distinct d’actifs non financiers.</w:t>
      </w:r>
    </w:p>
    <w:p w14:paraId="20986FAC" w14:textId="77777777" w:rsidR="008E220F" w:rsidRDefault="008E220F" w:rsidP="008E220F">
      <w:pPr>
        <w:pStyle w:val="NormalWeb"/>
        <w:ind w:left="240" w:right="240" w:firstLine="240"/>
        <w:jc w:val="both"/>
        <w:rPr>
          <w:rFonts w:ascii="Verdana" w:hAnsi="Verdana"/>
          <w:color w:val="000000"/>
          <w:sz w:val="27"/>
          <w:szCs w:val="27"/>
        </w:rPr>
      </w:pPr>
      <w:r>
        <w:rPr>
          <w:rFonts w:ascii="Verdana" w:hAnsi="Verdana"/>
          <w:color w:val="000000"/>
          <w:sz w:val="27"/>
          <w:szCs w:val="27"/>
        </w:rPr>
        <w:t>15.03 Dans le présent chapitre, l’enregistrement des divers groupes de contrats complexes et de leurs flux et stocks sous-jacents est examiné dans sept sections différentes :</w:t>
      </w:r>
    </w:p>
    <w:p w14:paraId="1300E218" w14:textId="77777777" w:rsidR="008E220F" w:rsidRDefault="008E220F" w:rsidP="008E220F">
      <w:pPr>
        <w:pStyle w:val="par"/>
        <w:numPr>
          <w:ilvl w:val="0"/>
          <w:numId w:val="35"/>
        </w:numPr>
        <w:ind w:right="240"/>
        <w:jc w:val="both"/>
        <w:rPr>
          <w:rFonts w:ascii="Verdana" w:hAnsi="Verdana"/>
          <w:color w:val="000000"/>
          <w:sz w:val="27"/>
          <w:szCs w:val="27"/>
        </w:rPr>
      </w:pPr>
      <w:r>
        <w:rPr>
          <w:rFonts w:ascii="Verdana" w:hAnsi="Verdana"/>
          <w:color w:val="000000"/>
          <w:sz w:val="27"/>
          <w:szCs w:val="27"/>
        </w:rPr>
        <w:t>a) distinction entre location simple, location de ressources et crédit-bail;</w:t>
      </w:r>
    </w:p>
    <w:p w14:paraId="23EE6692" w14:textId="77777777" w:rsidR="008E220F" w:rsidRDefault="008E220F" w:rsidP="008E220F">
      <w:pPr>
        <w:pStyle w:val="par"/>
        <w:numPr>
          <w:ilvl w:val="0"/>
          <w:numId w:val="35"/>
        </w:numPr>
        <w:ind w:right="240"/>
        <w:jc w:val="both"/>
        <w:rPr>
          <w:rFonts w:ascii="Verdana" w:hAnsi="Verdana"/>
          <w:color w:val="000000"/>
          <w:sz w:val="27"/>
          <w:szCs w:val="27"/>
        </w:rPr>
      </w:pPr>
      <w:r>
        <w:rPr>
          <w:rFonts w:ascii="Verdana" w:hAnsi="Verdana"/>
          <w:color w:val="000000"/>
          <w:sz w:val="27"/>
          <w:szCs w:val="27"/>
        </w:rPr>
        <w:t>b) permis d’utiliser des ressources naturelles;</w:t>
      </w:r>
    </w:p>
    <w:p w14:paraId="0BE1BD31" w14:textId="77777777" w:rsidR="008E220F" w:rsidRDefault="008E220F" w:rsidP="008E220F">
      <w:pPr>
        <w:pStyle w:val="par"/>
        <w:numPr>
          <w:ilvl w:val="0"/>
          <w:numId w:val="35"/>
        </w:numPr>
        <w:ind w:right="240"/>
        <w:jc w:val="both"/>
        <w:rPr>
          <w:rFonts w:ascii="Verdana" w:hAnsi="Verdana"/>
          <w:color w:val="000000"/>
          <w:sz w:val="27"/>
          <w:szCs w:val="27"/>
        </w:rPr>
      </w:pPr>
      <w:r>
        <w:rPr>
          <w:rFonts w:ascii="Verdana" w:hAnsi="Verdana"/>
          <w:color w:val="000000"/>
          <w:sz w:val="27"/>
          <w:szCs w:val="27"/>
        </w:rPr>
        <w:t>c) permis d’entreprendre une activité particulière;</w:t>
      </w:r>
    </w:p>
    <w:p w14:paraId="6E23C595" w14:textId="77777777" w:rsidR="008E220F" w:rsidRDefault="008E220F" w:rsidP="008E220F">
      <w:pPr>
        <w:pStyle w:val="par"/>
        <w:numPr>
          <w:ilvl w:val="0"/>
          <w:numId w:val="35"/>
        </w:numPr>
        <w:ind w:right="240"/>
        <w:jc w:val="both"/>
        <w:rPr>
          <w:rFonts w:ascii="Verdana" w:hAnsi="Verdana"/>
          <w:color w:val="000000"/>
          <w:sz w:val="27"/>
          <w:szCs w:val="27"/>
        </w:rPr>
      </w:pPr>
      <w:r>
        <w:rPr>
          <w:rFonts w:ascii="Verdana" w:hAnsi="Verdana"/>
          <w:color w:val="000000"/>
          <w:sz w:val="27"/>
          <w:szCs w:val="27"/>
        </w:rPr>
        <w:t>d) partenariats public-privé;</w:t>
      </w:r>
    </w:p>
    <w:p w14:paraId="6D5FDB97" w14:textId="77777777" w:rsidR="008E220F" w:rsidRDefault="008E220F" w:rsidP="008E220F">
      <w:pPr>
        <w:pStyle w:val="par"/>
        <w:numPr>
          <w:ilvl w:val="0"/>
          <w:numId w:val="35"/>
        </w:numPr>
        <w:ind w:right="240"/>
        <w:jc w:val="both"/>
        <w:rPr>
          <w:rFonts w:ascii="Verdana" w:hAnsi="Verdana"/>
          <w:color w:val="000000"/>
          <w:sz w:val="27"/>
          <w:szCs w:val="27"/>
        </w:rPr>
      </w:pPr>
      <w:r>
        <w:rPr>
          <w:rFonts w:ascii="Verdana" w:hAnsi="Verdana"/>
          <w:color w:val="000000"/>
          <w:sz w:val="27"/>
          <w:szCs w:val="27"/>
        </w:rPr>
        <w:t>e) contrats de concession de services;</w:t>
      </w:r>
    </w:p>
    <w:p w14:paraId="11781071" w14:textId="77777777" w:rsidR="008E220F" w:rsidRDefault="008E220F" w:rsidP="008E220F">
      <w:pPr>
        <w:pStyle w:val="par"/>
        <w:numPr>
          <w:ilvl w:val="0"/>
          <w:numId w:val="35"/>
        </w:numPr>
        <w:ind w:right="240"/>
        <w:jc w:val="both"/>
        <w:rPr>
          <w:rFonts w:ascii="Verdana" w:hAnsi="Verdana"/>
          <w:color w:val="000000"/>
          <w:sz w:val="27"/>
          <w:szCs w:val="27"/>
        </w:rPr>
      </w:pPr>
      <w:r>
        <w:rPr>
          <w:rFonts w:ascii="Verdana" w:hAnsi="Verdana"/>
          <w:color w:val="000000"/>
          <w:sz w:val="27"/>
          <w:szCs w:val="27"/>
        </w:rPr>
        <w:t>f) licences d’exploitation transférables;</w:t>
      </w:r>
    </w:p>
    <w:p w14:paraId="461B77C5" w14:textId="77777777" w:rsidR="008E220F" w:rsidRDefault="008E220F" w:rsidP="008E220F">
      <w:pPr>
        <w:pStyle w:val="par"/>
        <w:numPr>
          <w:ilvl w:val="0"/>
          <w:numId w:val="35"/>
        </w:numPr>
        <w:ind w:right="240"/>
        <w:jc w:val="both"/>
        <w:rPr>
          <w:rFonts w:ascii="Verdana" w:hAnsi="Verdana"/>
          <w:color w:val="000000"/>
          <w:sz w:val="27"/>
          <w:szCs w:val="27"/>
        </w:rPr>
      </w:pPr>
      <w:r>
        <w:rPr>
          <w:rFonts w:ascii="Verdana" w:hAnsi="Verdana"/>
          <w:color w:val="000000"/>
          <w:sz w:val="27"/>
          <w:szCs w:val="27"/>
        </w:rPr>
        <w:t>g) droits d’exclusivité sur des biens et services futurs.</w:t>
      </w:r>
    </w:p>
    <w:p w14:paraId="26CEADAA" w14:textId="77777777" w:rsidR="008E220F" w:rsidRDefault="008E220F" w:rsidP="008E220F">
      <w:pPr>
        <w:pStyle w:val="Titre2"/>
        <w:shd w:val="clear" w:color="auto" w:fill="3300FF"/>
        <w:rPr>
          <w:rFonts w:ascii="Verdana" w:hAnsi="Verdana"/>
          <w:color w:val="FFFFFF"/>
          <w:sz w:val="26"/>
          <w:szCs w:val="26"/>
        </w:rPr>
      </w:pPr>
      <w:bookmarkStart w:id="1" w:name="a2"/>
      <w:bookmarkEnd w:id="1"/>
      <w:r>
        <w:rPr>
          <w:rFonts w:ascii="Verdana" w:hAnsi="Verdana"/>
          <w:color w:val="FFFFFF"/>
          <w:sz w:val="26"/>
          <w:szCs w:val="26"/>
        </w:rPr>
        <w:lastRenderedPageBreak/>
        <w:t>Distinction entre location simple, location de ressources et crédit-bail</w:t>
      </w:r>
    </w:p>
    <w:p w14:paraId="61E91837" w14:textId="77777777" w:rsidR="008E220F" w:rsidRDefault="008E220F" w:rsidP="008E220F">
      <w:pPr>
        <w:pStyle w:val="NormalWeb"/>
        <w:ind w:left="240" w:right="240" w:firstLine="240"/>
        <w:jc w:val="both"/>
        <w:rPr>
          <w:rFonts w:ascii="Verdana" w:hAnsi="Verdana"/>
          <w:color w:val="000000"/>
          <w:sz w:val="27"/>
          <w:szCs w:val="27"/>
        </w:rPr>
      </w:pPr>
      <w:r>
        <w:rPr>
          <w:rFonts w:ascii="Verdana" w:hAnsi="Verdana"/>
          <w:color w:val="000000"/>
          <w:sz w:val="27"/>
          <w:szCs w:val="27"/>
        </w:rPr>
        <w:t>15.04 On distingue trois types de baux concernant les actifs non financiers (voir tableau 15.1) :</w:t>
      </w:r>
    </w:p>
    <w:p w14:paraId="4652DE6E" w14:textId="77777777" w:rsidR="008E220F" w:rsidRDefault="008E220F" w:rsidP="008E220F">
      <w:pPr>
        <w:pStyle w:val="par"/>
        <w:numPr>
          <w:ilvl w:val="0"/>
          <w:numId w:val="36"/>
        </w:numPr>
        <w:ind w:right="240"/>
        <w:jc w:val="both"/>
        <w:rPr>
          <w:rFonts w:ascii="Verdana" w:hAnsi="Verdana"/>
          <w:color w:val="000000"/>
          <w:sz w:val="27"/>
          <w:szCs w:val="27"/>
        </w:rPr>
      </w:pPr>
      <w:r>
        <w:rPr>
          <w:rFonts w:ascii="Verdana" w:hAnsi="Verdana"/>
          <w:color w:val="000000"/>
          <w:sz w:val="27"/>
          <w:szCs w:val="27"/>
        </w:rPr>
        <w:t>a) location simple;</w:t>
      </w:r>
    </w:p>
    <w:p w14:paraId="742C03BD" w14:textId="77777777" w:rsidR="008E220F" w:rsidRDefault="008E220F" w:rsidP="008E220F">
      <w:pPr>
        <w:pStyle w:val="par"/>
        <w:numPr>
          <w:ilvl w:val="0"/>
          <w:numId w:val="36"/>
        </w:numPr>
        <w:ind w:right="240"/>
        <w:jc w:val="both"/>
        <w:rPr>
          <w:rFonts w:ascii="Verdana" w:hAnsi="Verdana"/>
          <w:color w:val="000000"/>
          <w:sz w:val="27"/>
          <w:szCs w:val="27"/>
        </w:rPr>
      </w:pPr>
      <w:r>
        <w:rPr>
          <w:rFonts w:ascii="Verdana" w:hAnsi="Verdana"/>
          <w:color w:val="000000"/>
          <w:sz w:val="27"/>
          <w:szCs w:val="27"/>
        </w:rPr>
        <w:t>b) location d’actifs naturels;</w:t>
      </w:r>
    </w:p>
    <w:p w14:paraId="57986B6F" w14:textId="77777777" w:rsidR="008E220F" w:rsidRDefault="008E220F" w:rsidP="008E220F">
      <w:pPr>
        <w:pStyle w:val="par"/>
        <w:numPr>
          <w:ilvl w:val="0"/>
          <w:numId w:val="36"/>
        </w:numPr>
        <w:ind w:right="240"/>
        <w:jc w:val="both"/>
        <w:rPr>
          <w:rFonts w:ascii="Verdana" w:hAnsi="Verdana"/>
          <w:color w:val="000000"/>
          <w:sz w:val="27"/>
          <w:szCs w:val="27"/>
        </w:rPr>
      </w:pPr>
      <w:r>
        <w:rPr>
          <w:rFonts w:ascii="Verdana" w:hAnsi="Verdana"/>
          <w:color w:val="000000"/>
          <w:sz w:val="27"/>
          <w:szCs w:val="27"/>
        </w:rPr>
        <w:t>c) crédit-bail.</w:t>
      </w:r>
    </w:p>
    <w:p w14:paraId="0D5E723F" w14:textId="77777777" w:rsidR="008E220F" w:rsidRDefault="008E220F" w:rsidP="008E220F">
      <w:pPr>
        <w:pStyle w:val="NormalWeb"/>
        <w:ind w:left="240" w:right="240" w:firstLine="240"/>
        <w:jc w:val="both"/>
        <w:rPr>
          <w:rFonts w:ascii="Verdana" w:hAnsi="Verdana"/>
          <w:color w:val="000000"/>
          <w:sz w:val="27"/>
          <w:szCs w:val="27"/>
        </w:rPr>
      </w:pPr>
      <w:r>
        <w:rPr>
          <w:rFonts w:ascii="Verdana" w:hAnsi="Verdana"/>
          <w:color w:val="000000"/>
          <w:sz w:val="27"/>
          <w:szCs w:val="27"/>
        </w:rPr>
        <w:t>Chacun de ces baux a trait à l’utilisation d’un actif non financier :</w:t>
      </w:r>
    </w:p>
    <w:p w14:paraId="7B518418" w14:textId="77777777" w:rsidR="008E220F" w:rsidRDefault="008E220F" w:rsidP="008E220F">
      <w:pPr>
        <w:pStyle w:val="par"/>
        <w:numPr>
          <w:ilvl w:val="0"/>
          <w:numId w:val="37"/>
        </w:numPr>
        <w:ind w:right="240"/>
        <w:jc w:val="both"/>
        <w:rPr>
          <w:rFonts w:ascii="Verdana" w:hAnsi="Verdana"/>
          <w:color w:val="000000"/>
          <w:sz w:val="27"/>
          <w:szCs w:val="27"/>
        </w:rPr>
      </w:pPr>
      <w:r>
        <w:rPr>
          <w:rFonts w:ascii="Verdana" w:hAnsi="Verdana"/>
          <w:color w:val="000000"/>
          <w:sz w:val="27"/>
          <w:szCs w:val="27"/>
        </w:rPr>
        <w:t>dans le cas de la location simple et de la location de ressources, il n’y a pas de changement de propriété économique et le propriétaire légal continue d’être le propriétaire économique. La location de ressources concerne des ressources naturelles, comme les terrains et les spectres de fréquences radio, par exemple. La location simple concerne tous les autres actifs non financiers,</w:t>
      </w:r>
    </w:p>
    <w:p w14:paraId="0145892E" w14:textId="77777777" w:rsidR="008E220F" w:rsidRDefault="008E220F" w:rsidP="008E220F">
      <w:pPr>
        <w:pStyle w:val="par"/>
        <w:numPr>
          <w:ilvl w:val="0"/>
          <w:numId w:val="37"/>
        </w:numPr>
        <w:ind w:right="240"/>
        <w:jc w:val="both"/>
        <w:rPr>
          <w:rFonts w:ascii="Verdana" w:hAnsi="Verdana"/>
          <w:color w:val="000000"/>
          <w:sz w:val="27"/>
          <w:szCs w:val="27"/>
        </w:rPr>
      </w:pPr>
      <w:r>
        <w:rPr>
          <w:rFonts w:ascii="Verdana" w:hAnsi="Verdana"/>
          <w:color w:val="000000"/>
          <w:sz w:val="27"/>
          <w:szCs w:val="27"/>
        </w:rPr>
        <w:t>dans le cas du crédit-bail, il y a changement de propriété économique de l’actif et le propriétaire légal de l’actif n’est pas considéré comme le propriétaire économique. Le crédit-bail peut concerner tous les actifs non financiers, y compris des ressources naturelles dans certaines situations.</w:t>
      </w:r>
    </w:p>
    <w:p w14:paraId="63AC51F2" w14:textId="77777777" w:rsidR="008E220F" w:rsidRDefault="008E220F" w:rsidP="008E220F">
      <w:pPr>
        <w:pStyle w:val="NormalWeb"/>
        <w:ind w:left="240" w:right="240" w:firstLine="240"/>
        <w:jc w:val="both"/>
        <w:rPr>
          <w:rFonts w:ascii="Verdana" w:hAnsi="Verdana"/>
          <w:color w:val="000000"/>
          <w:sz w:val="27"/>
          <w:szCs w:val="27"/>
        </w:rPr>
      </w:pPr>
      <w:r>
        <w:rPr>
          <w:rFonts w:ascii="Verdana" w:hAnsi="Verdana"/>
          <w:color w:val="000000"/>
          <w:sz w:val="27"/>
          <w:szCs w:val="27"/>
        </w:rPr>
        <w:t>15.05 Toutes les entités, qu’il s’agisse d’un bien ou d’un service, d’une ressource naturelle, d’un actif ou passif financier, ont à la fois un propriétaire légal et un propriétaire économique. Dans de nombreux cas, le propriétaire économique et le propriétaire légal ne sont qu’une seule et même personne. Si ce n’est pas le cas, le propriétaire légal transmet au propriétaire économique la responsabilité du risque impliqué par l’utilisation de l’entité dans le cadre d’une activité économique, en même temps que les avantages correspondants. En contrepartie, le propriétaire légal reçoit de la part du propriétaire économique des paiements pour un autre ensemble de risques et d’avantages.</w:t>
      </w:r>
    </w:p>
    <w:p w14:paraId="64D09F82" w14:textId="6336B838" w:rsidR="008E220F" w:rsidRDefault="008E220F" w:rsidP="008E220F">
      <w:pPr>
        <w:rPr>
          <w:rFonts w:ascii="Times New Roman" w:hAnsi="Times New Roman"/>
          <w:sz w:val="24"/>
          <w:szCs w:val="24"/>
        </w:rPr>
      </w:pPr>
      <w:r>
        <w:rPr>
          <w:noProof/>
        </w:rPr>
        <w:lastRenderedPageBreak/>
        <w:drawing>
          <wp:inline distT="0" distB="0" distL="0" distR="0" wp14:anchorId="4FAF0529" wp14:editId="3E01B983">
            <wp:extent cx="5760720" cy="2379980"/>
            <wp:effectExtent l="0" t="0" r="0" b="127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2379980"/>
                    </a:xfrm>
                    <a:prstGeom prst="rect">
                      <a:avLst/>
                    </a:prstGeom>
                    <a:noFill/>
                    <a:ln>
                      <a:noFill/>
                    </a:ln>
                  </pic:spPr>
                </pic:pic>
              </a:graphicData>
            </a:graphic>
          </wp:inline>
        </w:drawing>
      </w:r>
      <w:r>
        <w:rPr>
          <w:rFonts w:ascii="Verdana" w:hAnsi="Verdana"/>
          <w:color w:val="000000"/>
          <w:sz w:val="27"/>
          <w:szCs w:val="27"/>
        </w:rPr>
        <w:br/>
      </w:r>
      <w:r>
        <w:rPr>
          <w:noProof/>
        </w:rPr>
        <w:drawing>
          <wp:inline distT="0" distB="0" distL="0" distR="0" wp14:anchorId="0865E072" wp14:editId="50F6A9C4">
            <wp:extent cx="5760720" cy="3830955"/>
            <wp:effectExtent l="0" t="0" r="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3830955"/>
                    </a:xfrm>
                    <a:prstGeom prst="rect">
                      <a:avLst/>
                    </a:prstGeom>
                    <a:noFill/>
                    <a:ln>
                      <a:noFill/>
                    </a:ln>
                  </pic:spPr>
                </pic:pic>
              </a:graphicData>
            </a:graphic>
          </wp:inline>
        </w:drawing>
      </w:r>
      <w:r>
        <w:rPr>
          <w:rFonts w:ascii="Verdana" w:hAnsi="Verdana"/>
          <w:color w:val="000000"/>
          <w:sz w:val="27"/>
          <w:szCs w:val="27"/>
        </w:rPr>
        <w:br/>
      </w:r>
    </w:p>
    <w:p w14:paraId="3284276D" w14:textId="77777777" w:rsidR="008E220F" w:rsidRDefault="008E220F" w:rsidP="008E220F">
      <w:pPr>
        <w:pStyle w:val="NormalWeb"/>
        <w:ind w:left="240" w:right="240" w:firstLine="240"/>
        <w:jc w:val="both"/>
        <w:rPr>
          <w:rFonts w:ascii="Verdana" w:hAnsi="Verdana"/>
          <w:color w:val="000000"/>
          <w:sz w:val="27"/>
          <w:szCs w:val="27"/>
        </w:rPr>
      </w:pPr>
      <w:r>
        <w:rPr>
          <w:rFonts w:ascii="Verdana" w:hAnsi="Verdana"/>
          <w:color w:val="000000"/>
          <w:sz w:val="27"/>
          <w:szCs w:val="27"/>
        </w:rPr>
        <w:t>15.06 Définition : le propriétaire économique d’entités telles que des biens et des services, des ressources naturelles, des actifs ou des passifs financiers, est l’unité institutionnelle qui peut prétendre aux avantages associés à l’utilisation de ces entités dans le cadre d’une activité économique en acceptant les risques correspondants.</w:t>
      </w:r>
    </w:p>
    <w:p w14:paraId="12E95B57" w14:textId="77777777" w:rsidR="008E220F" w:rsidRDefault="008E220F" w:rsidP="008E220F">
      <w:pPr>
        <w:pStyle w:val="NormalWeb"/>
        <w:ind w:left="240" w:right="240" w:firstLine="240"/>
        <w:jc w:val="both"/>
        <w:rPr>
          <w:rFonts w:ascii="Verdana" w:hAnsi="Verdana"/>
          <w:color w:val="000000"/>
          <w:sz w:val="27"/>
          <w:szCs w:val="27"/>
        </w:rPr>
      </w:pPr>
      <w:r>
        <w:rPr>
          <w:rFonts w:ascii="Verdana" w:hAnsi="Verdana"/>
          <w:color w:val="000000"/>
          <w:sz w:val="27"/>
          <w:szCs w:val="27"/>
        </w:rPr>
        <w:t xml:space="preserve">15.07 Définition : le propriétaire légal d’entités telles que des biens et des services, des ressources naturelles, des actifs ou des passifs financiers, est l’unité institutionnelle qui peut </w:t>
      </w:r>
      <w:r>
        <w:rPr>
          <w:rFonts w:ascii="Verdana" w:hAnsi="Verdana"/>
          <w:color w:val="000000"/>
          <w:sz w:val="27"/>
          <w:szCs w:val="27"/>
        </w:rPr>
        <w:lastRenderedPageBreak/>
        <w:t>prétendre de plein droit et en vertu de la loi aux avantages associés à ces entités.</w:t>
      </w:r>
    </w:p>
    <w:p w14:paraId="1D61CACF" w14:textId="77777777" w:rsidR="008E220F" w:rsidRDefault="008E220F" w:rsidP="008E220F">
      <w:pPr>
        <w:pStyle w:val="Titre2"/>
        <w:shd w:val="clear" w:color="auto" w:fill="3300FF"/>
        <w:rPr>
          <w:rFonts w:ascii="Verdana" w:hAnsi="Verdana"/>
          <w:color w:val="FFFFFF"/>
          <w:sz w:val="26"/>
          <w:szCs w:val="26"/>
        </w:rPr>
      </w:pPr>
      <w:bookmarkStart w:id="2" w:name="a3"/>
      <w:bookmarkEnd w:id="2"/>
      <w:r>
        <w:rPr>
          <w:rFonts w:ascii="Verdana" w:hAnsi="Verdana"/>
          <w:color w:val="FFFFFF"/>
          <w:sz w:val="26"/>
          <w:szCs w:val="26"/>
        </w:rPr>
        <w:t>Location simple</w:t>
      </w:r>
    </w:p>
    <w:p w14:paraId="4BAE3580" w14:textId="77777777" w:rsidR="008E220F" w:rsidRDefault="008E220F" w:rsidP="008E220F">
      <w:pPr>
        <w:pStyle w:val="NormalWeb"/>
        <w:ind w:left="240" w:right="240" w:firstLine="240"/>
        <w:jc w:val="both"/>
        <w:rPr>
          <w:rFonts w:ascii="Verdana" w:hAnsi="Verdana"/>
          <w:color w:val="000000"/>
          <w:sz w:val="27"/>
          <w:szCs w:val="27"/>
        </w:rPr>
      </w:pPr>
      <w:r>
        <w:rPr>
          <w:rFonts w:ascii="Verdana" w:hAnsi="Verdana"/>
          <w:color w:val="000000"/>
          <w:sz w:val="27"/>
          <w:szCs w:val="27"/>
        </w:rPr>
        <w:t>15.08 Définition : une location simple est une location dans laquelle le propriétaire légal est aussi le propriétaire économique et accepte les risques d’exploitation tout en bénéficiant des avantages économiques liés à l’actif en faisant payer pour l’utilisation de cet actif dans le cadre d’une activité de production.</w:t>
      </w:r>
    </w:p>
    <w:p w14:paraId="75474238" w14:textId="77777777" w:rsidR="008E220F" w:rsidRDefault="008E220F" w:rsidP="008E220F">
      <w:pPr>
        <w:pStyle w:val="NormalWeb"/>
        <w:ind w:left="240" w:right="240" w:firstLine="240"/>
        <w:jc w:val="both"/>
        <w:rPr>
          <w:rFonts w:ascii="Verdana" w:hAnsi="Verdana"/>
          <w:color w:val="000000"/>
          <w:sz w:val="27"/>
          <w:szCs w:val="27"/>
        </w:rPr>
      </w:pPr>
      <w:r>
        <w:rPr>
          <w:rFonts w:ascii="Verdana" w:hAnsi="Verdana"/>
          <w:color w:val="000000"/>
          <w:sz w:val="27"/>
          <w:szCs w:val="27"/>
        </w:rPr>
        <w:t>15.09 Une location simple se caractérise par le fait que la responsabilité de l’entretien et de la réparation de l’actif incombe au propriétaire légal.</w:t>
      </w:r>
    </w:p>
    <w:p w14:paraId="49C44C90" w14:textId="77777777" w:rsidR="008E220F" w:rsidRDefault="008E220F" w:rsidP="008E220F">
      <w:pPr>
        <w:pStyle w:val="NormalWeb"/>
        <w:ind w:left="240" w:right="240" w:firstLine="240"/>
        <w:jc w:val="both"/>
        <w:rPr>
          <w:rFonts w:ascii="Verdana" w:hAnsi="Verdana"/>
          <w:color w:val="000000"/>
          <w:sz w:val="27"/>
          <w:szCs w:val="27"/>
        </w:rPr>
      </w:pPr>
      <w:r>
        <w:rPr>
          <w:rFonts w:ascii="Verdana" w:hAnsi="Verdana"/>
          <w:color w:val="000000"/>
          <w:sz w:val="27"/>
          <w:szCs w:val="27"/>
        </w:rPr>
        <w:t>15.10 Dans le cadre d’une location simple, l’actif reste dans le compte de patrimoine du bailleur.</w:t>
      </w:r>
    </w:p>
    <w:p w14:paraId="0ABA11A6" w14:textId="77777777" w:rsidR="008E220F" w:rsidRDefault="008E220F" w:rsidP="008E220F">
      <w:pPr>
        <w:pStyle w:val="NormalWeb"/>
        <w:ind w:left="240" w:right="240" w:firstLine="240"/>
        <w:jc w:val="both"/>
        <w:rPr>
          <w:rFonts w:ascii="Verdana" w:hAnsi="Verdana"/>
          <w:color w:val="000000"/>
          <w:sz w:val="27"/>
          <w:szCs w:val="27"/>
        </w:rPr>
      </w:pPr>
      <w:r>
        <w:rPr>
          <w:rFonts w:ascii="Verdana" w:hAnsi="Verdana"/>
          <w:color w:val="000000"/>
          <w:sz w:val="27"/>
          <w:szCs w:val="27"/>
        </w:rPr>
        <w:t>15.11 Les paiements effectués pour des actifs produits en vertu d’une location simple sont communément appelés loyers et sont enregistrés comme paiements pour un service (voir tableau 15.2).</w:t>
      </w:r>
    </w:p>
    <w:p w14:paraId="1F43BEE9" w14:textId="77777777" w:rsidR="008E220F" w:rsidRDefault="008E220F" w:rsidP="008E220F">
      <w:pPr>
        <w:pStyle w:val="NormalWeb"/>
        <w:ind w:left="240" w:right="240" w:firstLine="240"/>
        <w:jc w:val="both"/>
        <w:rPr>
          <w:rFonts w:ascii="Verdana" w:hAnsi="Verdana"/>
          <w:color w:val="000000"/>
          <w:sz w:val="27"/>
          <w:szCs w:val="27"/>
        </w:rPr>
      </w:pPr>
      <w:r>
        <w:rPr>
          <w:rFonts w:ascii="Verdana" w:hAnsi="Verdana"/>
          <w:color w:val="000000"/>
          <w:sz w:val="27"/>
          <w:szCs w:val="27"/>
        </w:rPr>
        <w:t xml:space="preserve">Pour décrire les caractéristiques de la location simple, la meilleure méthode est de parler de celle qui concerne les équipements: en effet, la location simple porte habituellement sur des véhicules, des grues, des engins de forage, etc. Toutefois, n’importe quel type d’actif non financier peut faire l’objet d’une location simple. Le service rendu par le bailleur va au-delà de la simple fourniture de l’actif. Il inclut également d’autres éléments, comme la commodité ou la sécurité d’utilisation. Dans le cas d’un équipement, le bailleur, ou le propriétaire de l’équipement, maintient normalement en bon état de marche un parc de machines et d’équipements qui peuvent être loués sur demande ou à bref délai. Normalement, le bailleur doit parfaitement connaître le fonctionnement des équipements, ce qui est important dans le cas de matériel hautement sophistiqué, comme les ordinateurs, pour lequel le locataire ne dispose pas nécessairement des connaissances techniques, ou des installations lui permettant d’assurer la maintenance de l’équipement. Le bailleur peut également s’engager à remplacer les équipements en cas de défaillance </w:t>
      </w:r>
      <w:r>
        <w:rPr>
          <w:rFonts w:ascii="Verdana" w:hAnsi="Verdana"/>
          <w:color w:val="000000"/>
          <w:sz w:val="27"/>
          <w:szCs w:val="27"/>
        </w:rPr>
        <w:lastRenderedPageBreak/>
        <w:t>sérieuse ou prolongée. Dans le cas d’un bâtiment, le bailleur est responsable de l’intégrité structurelle du bâtiment et du remplacement en cas de dommage résultant, par exemple, d’une catastrophe naturelle. Il lui incombe généralement de s’assurer du fonctionnement correct des ascenseurs ainsi que des systèmes de chauffage et de ventilation.</w:t>
      </w:r>
    </w:p>
    <w:p w14:paraId="04FFAD91" w14:textId="77777777" w:rsidR="008E220F" w:rsidRDefault="008E220F" w:rsidP="008E220F">
      <w:pPr>
        <w:pStyle w:val="NormalWeb"/>
        <w:ind w:left="240" w:right="240" w:firstLine="240"/>
        <w:jc w:val="both"/>
        <w:rPr>
          <w:rFonts w:ascii="Verdana" w:hAnsi="Verdana"/>
          <w:color w:val="000000"/>
          <w:sz w:val="27"/>
          <w:szCs w:val="27"/>
        </w:rPr>
      </w:pPr>
      <w:r>
        <w:rPr>
          <w:rFonts w:ascii="Verdana" w:hAnsi="Verdana"/>
          <w:color w:val="000000"/>
          <w:sz w:val="27"/>
          <w:szCs w:val="27"/>
        </w:rPr>
        <w:t>15.12 À l’origine, la location simple s’est développée pour répondre à des besoins périodiques des utilisateurs. Un grand nombre de locations simples concerne de courtes périodes, même si le locataire peut renouveler le bail à l’expiration d’une période de location et que le même utilisateur peut louer le même équipement à plusieurs reprises. Toutefois, les machines devenant de plus en plus sophistiquées, notamment dans le secteur de l’électronique, les facilités d’entretien et d’assistance que proposent les bailleurs deviennent des facteurs importants, qui peuvent inciter un utilisateur à recourir à la location plutôt que d’envisager un achat. De surcroît, les conséquences éventuelles sur le bilan, la trésorerie ou la fiscalité peuvent également entrer en jeu pour décider une entreprise à préférer la location de longue durée à l’achat.</w:t>
      </w:r>
    </w:p>
    <w:p w14:paraId="5FB23AA3" w14:textId="77777777" w:rsidR="008E220F" w:rsidRDefault="008E220F" w:rsidP="008E220F">
      <w:pPr>
        <w:pStyle w:val="Titre2"/>
        <w:shd w:val="clear" w:color="auto" w:fill="3300FF"/>
        <w:rPr>
          <w:rFonts w:ascii="Verdana" w:hAnsi="Verdana"/>
          <w:color w:val="FFFFFF"/>
          <w:sz w:val="26"/>
          <w:szCs w:val="26"/>
        </w:rPr>
      </w:pPr>
      <w:bookmarkStart w:id="3" w:name="a4"/>
      <w:bookmarkEnd w:id="3"/>
      <w:r>
        <w:rPr>
          <w:rFonts w:ascii="Verdana" w:hAnsi="Verdana"/>
          <w:color w:val="FFFFFF"/>
          <w:sz w:val="26"/>
          <w:szCs w:val="26"/>
        </w:rPr>
        <w:t>Crédit-bail</w:t>
      </w:r>
    </w:p>
    <w:p w14:paraId="53806A70" w14:textId="77777777" w:rsidR="008E220F" w:rsidRDefault="008E220F" w:rsidP="008E220F">
      <w:pPr>
        <w:pStyle w:val="NormalWeb"/>
        <w:ind w:left="240" w:right="240" w:firstLine="240"/>
        <w:jc w:val="both"/>
        <w:rPr>
          <w:rFonts w:ascii="Verdana" w:hAnsi="Verdana"/>
          <w:color w:val="000000"/>
          <w:sz w:val="27"/>
          <w:szCs w:val="27"/>
        </w:rPr>
      </w:pPr>
      <w:r>
        <w:rPr>
          <w:rFonts w:ascii="Verdana" w:hAnsi="Verdana"/>
          <w:color w:val="000000"/>
          <w:sz w:val="27"/>
          <w:szCs w:val="27"/>
        </w:rPr>
        <w:t>15.13 Définition: un crédit-bail est un accord dans lequel le bailleur est le propriétaire légal d’un actif, mais c’est le preneur qui en est le propriétaire économique, car ce dernier accepte les risques d’exploitation et bénéficie des avantages économiques liés à l’utilisation de l’actif dans le cadre d’une activité de production. En contrepartie, le bailleur accepte un autre ensemble de risques et d’avantages de la part du preneur, sous la forme de remboursements associés à un crédit. Il arrive fréquemment que le bailleur, bien qu’étant le propriétaire légal de l’actif, ne prenne jamais livraison physiquement de l’actif, mais accepte qu’il soit livré directement au preneur. Un crédit-bail se caractérise par le fait que la responsabilité de l’entretien et de la réparation de l’actif incombe au propriétaire économique.</w:t>
      </w:r>
    </w:p>
    <w:p w14:paraId="008021C2" w14:textId="77777777" w:rsidR="008E220F" w:rsidRDefault="008E220F" w:rsidP="008E220F">
      <w:pPr>
        <w:pStyle w:val="NormalWeb"/>
        <w:ind w:left="240" w:right="240" w:firstLine="240"/>
        <w:jc w:val="both"/>
        <w:rPr>
          <w:rFonts w:ascii="Verdana" w:hAnsi="Verdana"/>
          <w:color w:val="000000"/>
          <w:sz w:val="27"/>
          <w:szCs w:val="27"/>
        </w:rPr>
      </w:pPr>
      <w:r>
        <w:rPr>
          <w:rFonts w:ascii="Verdana" w:hAnsi="Verdana"/>
          <w:color w:val="000000"/>
          <w:sz w:val="27"/>
          <w:szCs w:val="27"/>
        </w:rPr>
        <w:t xml:space="preserve">15.14 Dans le cadre d’un crédit-bail, on considère que le propriétaire légal consent un crédit au preneur, que celui-ci utilise pour acquérir l’actif. Par la suite, l’actif apparaît dans le compte de patrimoine du preneur et non dans celui du bailleur; </w:t>
      </w:r>
      <w:r>
        <w:rPr>
          <w:rFonts w:ascii="Verdana" w:hAnsi="Verdana"/>
          <w:color w:val="000000"/>
          <w:sz w:val="27"/>
          <w:szCs w:val="27"/>
        </w:rPr>
        <w:lastRenderedPageBreak/>
        <w:t>le crédit correspondant apparaît comme un actif du bailleur et un passif du preneur. Les paiements effectués dans le cadre du crédit-bail sont considérés non pas comme des loyers, mais comme des paiements d’intérêts et un remboursement du principal sur le crédit imputé. Si le bailleur est un intermédiaire financier, une partie du paiement est également considérée comme un service (SIFIM).</w:t>
      </w:r>
    </w:p>
    <w:p w14:paraId="4E9BC580" w14:textId="77777777" w:rsidR="008E220F" w:rsidRDefault="008E220F" w:rsidP="008E220F">
      <w:pPr>
        <w:pStyle w:val="NormalWeb"/>
        <w:ind w:left="240" w:right="240" w:firstLine="240"/>
        <w:jc w:val="both"/>
        <w:rPr>
          <w:rFonts w:ascii="Verdana" w:hAnsi="Verdana"/>
          <w:color w:val="000000"/>
          <w:sz w:val="27"/>
          <w:szCs w:val="27"/>
        </w:rPr>
      </w:pPr>
      <w:r>
        <w:rPr>
          <w:rFonts w:ascii="Verdana" w:hAnsi="Verdana"/>
          <w:color w:val="000000"/>
          <w:sz w:val="27"/>
          <w:szCs w:val="27"/>
        </w:rPr>
        <w:t>15.15 La nature de l’actif objet du crédit-bail peut très bien être assez éloignée de celle des actifs utilisés par le bailleur dans le cadre de son activité de production, comme dans l’exemple d’un avion de ligne commercial dont le propriétaire légal est une banque mais qui est loué à une compagnie aérienne. Faire figurer l’avion ou sa consommation de capital fixe dans les comptes de la banque ou ne pas les faire apparaître dans les comptes de la compagnie aérienne n’a aucun sens du point de vue économique. Le crédit-bail permet d’éviter cette forme inappropriée d’enregistrement de la propriété de l’avion et de la baisse de sa valeur, tout en conservant une valeur nette correcte pour les deux parties tout au long de la durée du crédit-bail.</w:t>
      </w:r>
    </w:p>
    <w:p w14:paraId="48F497EB" w14:textId="77777777" w:rsidR="008E220F" w:rsidRDefault="008E220F" w:rsidP="008E220F">
      <w:pPr>
        <w:pStyle w:val="NormalWeb"/>
        <w:ind w:left="240" w:right="240" w:firstLine="240"/>
        <w:jc w:val="both"/>
        <w:rPr>
          <w:rFonts w:ascii="Verdana" w:hAnsi="Verdana"/>
          <w:color w:val="000000"/>
          <w:sz w:val="27"/>
          <w:szCs w:val="27"/>
        </w:rPr>
      </w:pPr>
      <w:r>
        <w:rPr>
          <w:rFonts w:ascii="Verdana" w:hAnsi="Verdana"/>
          <w:color w:val="000000"/>
          <w:sz w:val="27"/>
          <w:szCs w:val="27"/>
        </w:rPr>
        <w:t>15.16 Il n’est pas rare qu’un crédit-bail se prolonge sur toute la durée de vie économique de l’actif. Lorsque c’est le cas, la valeur du crédit imputé correspond à la valeur actuelle des paiements à effectuer dans le cadre de l’accord de crédit-bail. Cette valeur est destinée à couvrir le coût de l’actif et inclut en général également un service facturé par le bailleur, à payer périodiquement sur la période du bail.</w:t>
      </w:r>
    </w:p>
    <w:p w14:paraId="6A74DE32" w14:textId="77777777" w:rsidR="008E220F" w:rsidRDefault="008E220F" w:rsidP="008E220F">
      <w:pPr>
        <w:pStyle w:val="NormalWeb"/>
        <w:ind w:left="240" w:right="240" w:firstLine="240"/>
        <w:jc w:val="both"/>
        <w:rPr>
          <w:rFonts w:ascii="Verdana" w:hAnsi="Verdana"/>
          <w:color w:val="000000"/>
          <w:sz w:val="27"/>
          <w:szCs w:val="27"/>
        </w:rPr>
      </w:pPr>
      <w:r>
        <w:rPr>
          <w:rFonts w:ascii="Verdana" w:hAnsi="Verdana"/>
          <w:color w:val="000000"/>
          <w:sz w:val="27"/>
          <w:szCs w:val="27"/>
        </w:rPr>
        <w:t>Les paiements versés régulièrement au bailleur peuvent être enregistrés en quatre éléments: paiements d’intérêts, remboursements du principal sur le crédit imputé, service facturé par le bailleur et SIFIM (si le bailleur est un intermédiaire financier). Si les termes de l’accord ne précisent pas comment les trois premiers éléments doivent être identifiés, le remboursement du principal doit correspondre à la baisse de valeur de l’actif (la consommation de capital fixe), les intérêts à payer doivent correspondre au service du capital sur l’actif et les services facturés, à la différence entre le montant total à payer et ces deux éléments.</w:t>
      </w:r>
    </w:p>
    <w:p w14:paraId="207D1D7A" w14:textId="77777777" w:rsidR="008E220F" w:rsidRDefault="008E220F" w:rsidP="008E220F">
      <w:pPr>
        <w:pStyle w:val="NormalWeb"/>
        <w:ind w:left="240" w:right="240" w:firstLine="240"/>
        <w:jc w:val="both"/>
        <w:rPr>
          <w:rFonts w:ascii="Verdana" w:hAnsi="Verdana"/>
          <w:color w:val="000000"/>
          <w:sz w:val="27"/>
          <w:szCs w:val="27"/>
        </w:rPr>
      </w:pPr>
      <w:r>
        <w:rPr>
          <w:rFonts w:ascii="Verdana" w:hAnsi="Verdana"/>
          <w:color w:val="000000"/>
          <w:sz w:val="27"/>
          <w:szCs w:val="27"/>
        </w:rPr>
        <w:lastRenderedPageBreak/>
        <w:t>15.17 Un crédit-bail peut également exister lorsque la période couverte par le bail est inférieure à la durée de vie économique de l’actif. Dans ce cas, la valeur du crédit imputé couvre à nouveau le coût de l’actif et le service facturé par le bailleur, plus la valeur des services facturés selon les termes du bail. Les paiements versés régulièrement au bailleur sont enregistrés en paiements d’intérêts, remboursements du principal sur le crédit imputé, service facturé par le bailleur et SIFIM (si le bailleur est un intermédiaire financier). Ces paiements peuvent également inclure des paiements anticipés qui financent le rachat de l’actif à la fin de la période du bail. Au terme du bail, l’actif peut être transféré dans le compte de patrimoine du preneur, en fonction des dispositions prévues par le contrat. La valeur des encours résiduels sur le crédit sera égale à la valeur marchande attendue de l’actif à la fin de la période du bail, telle qu’elle est déterminée au début du bail.</w:t>
      </w:r>
    </w:p>
    <w:p w14:paraId="7AE087B7" w14:textId="77777777" w:rsidR="008E220F" w:rsidRDefault="008E220F" w:rsidP="008E220F">
      <w:pPr>
        <w:pStyle w:val="NormalWeb"/>
        <w:ind w:left="240" w:right="240" w:firstLine="240"/>
        <w:jc w:val="both"/>
        <w:rPr>
          <w:rFonts w:ascii="Verdana" w:hAnsi="Verdana"/>
          <w:color w:val="000000"/>
          <w:sz w:val="27"/>
          <w:szCs w:val="27"/>
        </w:rPr>
      </w:pPr>
      <w:r>
        <w:rPr>
          <w:rFonts w:ascii="Verdana" w:hAnsi="Verdana"/>
          <w:color w:val="000000"/>
          <w:sz w:val="27"/>
          <w:szCs w:val="27"/>
        </w:rPr>
        <w:t>À ce moment-là, l’actif peut être rendu au bailleur, le preneur peut recourir à une option d’acquisition légale de l’actif ou un nouvel accord peut être passé entre le preneur et le bailleur.</w:t>
      </w:r>
    </w:p>
    <w:p w14:paraId="12C372BE" w14:textId="77777777" w:rsidR="008E220F" w:rsidRDefault="008E220F" w:rsidP="008E220F">
      <w:pPr>
        <w:pStyle w:val="NormalWeb"/>
        <w:ind w:left="240" w:right="240" w:firstLine="240"/>
        <w:jc w:val="both"/>
        <w:rPr>
          <w:rFonts w:ascii="Verdana" w:hAnsi="Verdana"/>
          <w:color w:val="000000"/>
          <w:sz w:val="27"/>
          <w:szCs w:val="27"/>
        </w:rPr>
      </w:pPr>
      <w:r>
        <w:rPr>
          <w:rFonts w:ascii="Verdana" w:hAnsi="Verdana"/>
          <w:color w:val="000000"/>
          <w:sz w:val="27"/>
          <w:szCs w:val="27"/>
        </w:rPr>
        <w:t>Dans le cadre d’un crédit-bail, le preneur doit accepter tous les risques et avantages liés à l’utilisation de l’actif. Par conséquent, les éventuels gains et pertes de détention sur la valeur attendue de l’actif à la fin de la période du bail reviennent au bailleur. Dans ce cas, lorsque l’actif est acquis légalement par le preneur à la fin de la période du bail, les paiements en espèces sont enregistrés comme remboursement du crédit, puisque l’actif se trouve déjà dans le compte de patrimoine du preneur.</w:t>
      </w:r>
    </w:p>
    <w:p w14:paraId="6F158EDB" w14:textId="77777777" w:rsidR="008E220F" w:rsidRDefault="008E220F" w:rsidP="008E220F">
      <w:pPr>
        <w:pStyle w:val="NormalWeb"/>
        <w:ind w:left="240" w:right="240" w:firstLine="240"/>
        <w:jc w:val="both"/>
        <w:rPr>
          <w:rFonts w:ascii="Verdana" w:hAnsi="Verdana"/>
          <w:color w:val="000000"/>
          <w:sz w:val="27"/>
          <w:szCs w:val="27"/>
        </w:rPr>
      </w:pPr>
      <w:r>
        <w:rPr>
          <w:rFonts w:ascii="Verdana" w:hAnsi="Verdana"/>
          <w:color w:val="000000"/>
          <w:sz w:val="27"/>
          <w:szCs w:val="27"/>
        </w:rPr>
        <w:t>Si l’actif est rendu au bailleur, une opération représentant l’achat de l’actif est enregistrée à la valeur marchande courante de l’actif. Les recettes sont utilisées pour rembourser l’encours sur le crédit, et toute différence entre ces montants est comptabilisée comme un transfert en capital. Les paiements effectués sur la période du bail incluent souvent des paiements anticipés pour l’acquisition de l’actif, de sorte que l’opération se produit sans contrepartie en espèces, étant donné que le crédit est entièrement remboursé à ce moment-là.</w:t>
      </w:r>
    </w:p>
    <w:p w14:paraId="29164B5D" w14:textId="77777777" w:rsidR="008E220F" w:rsidRDefault="008E220F" w:rsidP="008E220F">
      <w:pPr>
        <w:pStyle w:val="NormalWeb"/>
        <w:ind w:left="240" w:right="240" w:firstLine="240"/>
        <w:jc w:val="both"/>
        <w:rPr>
          <w:rFonts w:ascii="Verdana" w:hAnsi="Verdana"/>
          <w:color w:val="000000"/>
          <w:sz w:val="27"/>
          <w:szCs w:val="27"/>
        </w:rPr>
      </w:pPr>
      <w:r>
        <w:rPr>
          <w:rFonts w:ascii="Verdana" w:hAnsi="Verdana"/>
          <w:color w:val="000000"/>
          <w:sz w:val="27"/>
          <w:szCs w:val="27"/>
        </w:rPr>
        <w:lastRenderedPageBreak/>
        <w:t>Si une nouvelle période de bail est négociée, le nouveau contrat doit être analysé afin de savoir s’il s’agit de la poursuite d’un crédit-bail ou d’une location simple.</w:t>
      </w:r>
    </w:p>
    <w:p w14:paraId="57560686" w14:textId="77777777" w:rsidR="008E220F" w:rsidRDefault="008E220F" w:rsidP="008E220F">
      <w:pPr>
        <w:pStyle w:val="NormalWeb"/>
        <w:ind w:left="240" w:right="240" w:firstLine="240"/>
        <w:jc w:val="both"/>
        <w:rPr>
          <w:rFonts w:ascii="Verdana" w:hAnsi="Verdana"/>
          <w:color w:val="000000"/>
          <w:sz w:val="27"/>
          <w:szCs w:val="27"/>
        </w:rPr>
      </w:pPr>
      <w:r>
        <w:rPr>
          <w:rFonts w:ascii="Verdana" w:hAnsi="Verdana"/>
          <w:color w:val="000000"/>
          <w:sz w:val="27"/>
          <w:szCs w:val="27"/>
        </w:rPr>
        <w:t>15.18 Bien qu’un crédit-bail dure généralement plusieurs années, ce n’est pas la durée du bail qui détermine si celui-ci doit être considéré comme une location simple ou comme un crédit-bail. Dans certains cas, l’actif peut être loué pour de courtes périodes, par exemple une année seulement à la fois, mais le contrat inclut la condition selon laquelle le preneur assume l’entière responsabilité de l’actif, y compris la maintenance, ainsi que les dommages exceptionnels. Même si le bail couvre une courte période, et même si le bailleur n’est pas une institution financière, lorsque le preneur accepte la majorité des risques ainsi que les avantages associés à l’utilisation de l’actif pour produire, le bail est considéré comme un crédit-bail et non comme une location simple. Toutefois, il est difficile en pratique de s’éloigner de l’enregistrement tel qu’il est effectué dans les comptes d’entreprise, qui répondent aux normes internationales de comptabilité d’entreprise, selon lesquelles le crédit-bail se limite aux baux couvrant la majeure partie de la durée de vie économique de l’actif.</w:t>
      </w:r>
    </w:p>
    <w:p w14:paraId="1A45376C" w14:textId="77777777" w:rsidR="008E220F" w:rsidRDefault="008E220F" w:rsidP="008E220F">
      <w:pPr>
        <w:pStyle w:val="NormalWeb"/>
        <w:ind w:left="240" w:right="240" w:firstLine="240"/>
        <w:jc w:val="both"/>
        <w:rPr>
          <w:rFonts w:ascii="Verdana" w:hAnsi="Verdana"/>
          <w:color w:val="000000"/>
          <w:sz w:val="27"/>
          <w:szCs w:val="27"/>
        </w:rPr>
      </w:pPr>
      <w:r>
        <w:rPr>
          <w:rFonts w:ascii="Verdana" w:hAnsi="Verdana"/>
          <w:color w:val="000000"/>
          <w:sz w:val="27"/>
          <w:szCs w:val="27"/>
        </w:rPr>
        <w:t>15.19 Toute société qui se spécialise dans le crédit-bail, même s’il s’agit d’une société immobilière ou d’une société de location d’avions, doit être considérée comme un intermédiaire financier proposant des crédits aux unités qui louent des actifs auprès d’elle. Si le bailleur n’est pas un intermédiaire financier, les paiements associés au crédit imputé sont divisés en remboursements du principal et intérêts uniquement; si le bailleur est une société financière, une autre composante représentant le service facturé (SIFIM) est incluse.</w:t>
      </w:r>
    </w:p>
    <w:p w14:paraId="6C6BDD8F" w14:textId="77777777" w:rsidR="008E220F" w:rsidRDefault="008E220F" w:rsidP="008E220F">
      <w:pPr>
        <w:pStyle w:val="NormalWeb"/>
        <w:ind w:left="240" w:right="240" w:firstLine="240"/>
        <w:jc w:val="both"/>
        <w:rPr>
          <w:rFonts w:ascii="Verdana" w:hAnsi="Verdana"/>
          <w:color w:val="000000"/>
          <w:sz w:val="27"/>
          <w:szCs w:val="27"/>
        </w:rPr>
      </w:pPr>
      <w:r>
        <w:rPr>
          <w:rFonts w:ascii="Verdana" w:hAnsi="Verdana"/>
          <w:color w:val="000000"/>
          <w:sz w:val="27"/>
          <w:szCs w:val="27"/>
        </w:rPr>
        <w:t>15.20 La location-vente est un type de crédit-bail. Définition: on parle de contrat de location-vente lorsqu’un bien durable est vendu à un acheteur moyennant un certain nombre de paiements futurs convenus. L’acheteur prend possession du bien immédiatement, quoique du point de vue juridique, celui-ci reste la propriété du bailleur au titre de garantie jusqu’à ce que tous les montants convenus aient été versés par le preneur.</w:t>
      </w:r>
    </w:p>
    <w:p w14:paraId="011FA10D" w14:textId="77777777" w:rsidR="008E220F" w:rsidRDefault="008E220F" w:rsidP="008E220F">
      <w:pPr>
        <w:pStyle w:val="NormalWeb"/>
        <w:ind w:left="240" w:right="240" w:firstLine="240"/>
        <w:jc w:val="both"/>
        <w:rPr>
          <w:rFonts w:ascii="Verdana" w:hAnsi="Verdana"/>
          <w:color w:val="000000"/>
          <w:sz w:val="27"/>
          <w:szCs w:val="27"/>
        </w:rPr>
      </w:pPr>
      <w:r>
        <w:rPr>
          <w:rFonts w:ascii="Verdana" w:hAnsi="Verdana"/>
          <w:color w:val="000000"/>
          <w:sz w:val="27"/>
          <w:szCs w:val="27"/>
        </w:rPr>
        <w:t xml:space="preserve">15.21 La location-vente est habituellement limitée à des biens de consommation durables et la plupart des acheteurs font </w:t>
      </w:r>
      <w:r>
        <w:rPr>
          <w:rFonts w:ascii="Verdana" w:hAnsi="Verdana"/>
          <w:color w:val="000000"/>
          <w:sz w:val="27"/>
          <w:szCs w:val="27"/>
        </w:rPr>
        <w:lastRenderedPageBreak/>
        <w:t>partie du secteur des ménages. Les unités qui proposent des contrats de location-vente sont généralement des unités institutionnelles distinctes étroitement liées aux vendeurs de biens durables.</w:t>
      </w:r>
    </w:p>
    <w:p w14:paraId="35722AFE" w14:textId="77777777" w:rsidR="008E220F" w:rsidRDefault="008E220F" w:rsidP="008E220F">
      <w:pPr>
        <w:pStyle w:val="NormalWeb"/>
        <w:ind w:left="240" w:right="240" w:firstLine="240"/>
        <w:jc w:val="both"/>
        <w:rPr>
          <w:rFonts w:ascii="Verdana" w:hAnsi="Verdana"/>
          <w:color w:val="000000"/>
          <w:sz w:val="27"/>
          <w:szCs w:val="27"/>
        </w:rPr>
      </w:pPr>
      <w:r>
        <w:rPr>
          <w:rFonts w:ascii="Verdana" w:hAnsi="Verdana"/>
          <w:color w:val="000000"/>
          <w:sz w:val="27"/>
          <w:szCs w:val="27"/>
        </w:rPr>
        <w:t>15.22 Dans le cas de la location-vente, le bien durable est enregistré comme s’il était acquis par l’acheteur le jour où il en prend possession, au prix du marché qui aurait été réalisé dans le cadre d’une opération équivalente. L’acheteur se voit imputer un crédit d’un montant équivalent. Les paiements de l’acheteur au bailleur de fonds sont enregistrés en une composante «remboursement du principal» et une composante «intérêts», selon la même méthode que pour le crédit-bail. Les activités de production des unités qui proposent des contrats de location-vente relèvent de l’intermédiation financière. Ces unités ne facturant généralement pas directement les services qu’elles fournissent, la totalité de leur production constitue des SIFIM dont la valeur est calculée en soustrayant les intérêts à payer des revenus de la propriété à recevoir. Comme dans le cas du crédit-bail conventionnel, il peut s’avérer difficile d’observer les intérêts à payer, qu’il faudra par conséquent estimer.</w:t>
      </w:r>
    </w:p>
    <w:p w14:paraId="77E81FBF" w14:textId="77777777" w:rsidR="008E220F" w:rsidRDefault="008E220F" w:rsidP="008E220F">
      <w:pPr>
        <w:pStyle w:val="Titre2"/>
        <w:shd w:val="clear" w:color="auto" w:fill="3300FF"/>
        <w:rPr>
          <w:rFonts w:ascii="Verdana" w:hAnsi="Verdana"/>
          <w:color w:val="FFFFFF"/>
          <w:sz w:val="26"/>
          <w:szCs w:val="26"/>
        </w:rPr>
      </w:pPr>
      <w:bookmarkStart w:id="4" w:name="a5"/>
      <w:bookmarkEnd w:id="4"/>
      <w:r>
        <w:rPr>
          <w:rFonts w:ascii="Verdana" w:hAnsi="Verdana"/>
          <w:color w:val="FFFFFF"/>
          <w:sz w:val="26"/>
          <w:szCs w:val="26"/>
        </w:rPr>
        <w:t>Location de ressources</w:t>
      </w:r>
    </w:p>
    <w:p w14:paraId="1F16E703" w14:textId="77777777" w:rsidR="008E220F" w:rsidRDefault="008E220F" w:rsidP="008E220F">
      <w:pPr>
        <w:pStyle w:val="NormalWeb"/>
        <w:ind w:left="240" w:right="240" w:firstLine="240"/>
        <w:jc w:val="both"/>
        <w:rPr>
          <w:rFonts w:ascii="Verdana" w:hAnsi="Verdana"/>
          <w:color w:val="000000"/>
          <w:sz w:val="27"/>
          <w:szCs w:val="27"/>
        </w:rPr>
      </w:pPr>
      <w:r>
        <w:rPr>
          <w:rFonts w:ascii="Verdana" w:hAnsi="Verdana"/>
          <w:color w:val="000000"/>
          <w:sz w:val="27"/>
          <w:szCs w:val="27"/>
        </w:rPr>
        <w:t>15.23 Définition : un contrat de location de ressources est un accord par lequel le propriétaire d’une ressource naturelle met cette dernière à la disposition d’un preneur en échange d’un paiement enregistré comme un loyer.</w:t>
      </w:r>
    </w:p>
    <w:p w14:paraId="4CA9250C" w14:textId="77777777" w:rsidR="008E220F" w:rsidRDefault="008E220F" w:rsidP="008E220F">
      <w:pPr>
        <w:pStyle w:val="NormalWeb"/>
        <w:ind w:left="240" w:right="240" w:firstLine="240"/>
        <w:jc w:val="both"/>
        <w:rPr>
          <w:rFonts w:ascii="Verdana" w:hAnsi="Verdana"/>
          <w:color w:val="000000"/>
          <w:sz w:val="27"/>
          <w:szCs w:val="27"/>
        </w:rPr>
      </w:pPr>
      <w:r>
        <w:rPr>
          <w:rFonts w:ascii="Verdana" w:hAnsi="Verdana"/>
          <w:color w:val="000000"/>
          <w:sz w:val="27"/>
          <w:szCs w:val="27"/>
        </w:rPr>
        <w:t>15.24 Dans ce type de location, la ressource reste dans le compte de patrimoine du bailleur, même si elle est utilisée par le preneur. Toute baisse de la valeur d’une ressource naturelle est enregistrée en tant que disparition économique d’actifs non produits (K.21, «épuisement de ressources naturelles»).</w:t>
      </w:r>
    </w:p>
    <w:p w14:paraId="0FFF17BA" w14:textId="77777777" w:rsidR="008E220F" w:rsidRDefault="008E220F" w:rsidP="008E220F">
      <w:pPr>
        <w:pStyle w:val="NormalWeb"/>
        <w:ind w:left="240" w:right="240" w:firstLine="240"/>
        <w:jc w:val="both"/>
        <w:rPr>
          <w:rFonts w:ascii="Verdana" w:hAnsi="Verdana"/>
          <w:color w:val="000000"/>
          <w:sz w:val="27"/>
          <w:szCs w:val="27"/>
        </w:rPr>
      </w:pPr>
      <w:r>
        <w:rPr>
          <w:rFonts w:ascii="Verdana" w:hAnsi="Verdana"/>
          <w:color w:val="000000"/>
          <w:sz w:val="27"/>
          <w:szCs w:val="27"/>
        </w:rPr>
        <w:t>Elle n’apparaît pas comme une opération qui s’apparenterait à une consommation de capital fixe, puisqu’il n’y a pas de capital fixe à consommer. Les paiements dus dans le cadre d’une location de ressources, et uniquement ces paiements, sont enregistrés en tant que loyers.</w:t>
      </w:r>
    </w:p>
    <w:p w14:paraId="483DF04B" w14:textId="77777777" w:rsidR="008E220F" w:rsidRDefault="008E220F" w:rsidP="008E220F">
      <w:pPr>
        <w:pStyle w:val="NormalWeb"/>
        <w:ind w:left="240" w:right="240" w:firstLine="240"/>
        <w:jc w:val="both"/>
        <w:rPr>
          <w:rFonts w:ascii="Verdana" w:hAnsi="Verdana"/>
          <w:color w:val="000000"/>
          <w:sz w:val="27"/>
          <w:szCs w:val="27"/>
        </w:rPr>
      </w:pPr>
      <w:r>
        <w:rPr>
          <w:rFonts w:ascii="Verdana" w:hAnsi="Verdana"/>
          <w:color w:val="000000"/>
          <w:sz w:val="27"/>
          <w:szCs w:val="27"/>
        </w:rPr>
        <w:t xml:space="preserve">15.25 L’exemple classique de la location de ressources est la location de terrains, mais d’autres ressources naturelles sont </w:t>
      </w:r>
      <w:r>
        <w:rPr>
          <w:rFonts w:ascii="Verdana" w:hAnsi="Verdana"/>
          <w:color w:val="000000"/>
          <w:sz w:val="27"/>
          <w:szCs w:val="27"/>
        </w:rPr>
        <w:lastRenderedPageBreak/>
        <w:t>comptabilisées de façon similaire, notamment le bois, les ressources halieutiques, l’eau, les ressources minérales et les spectres de fréquences radio.</w:t>
      </w:r>
    </w:p>
    <w:p w14:paraId="0B385028" w14:textId="77777777" w:rsidR="008E220F" w:rsidRDefault="008E220F" w:rsidP="008E220F">
      <w:pPr>
        <w:pStyle w:val="Titre2"/>
        <w:shd w:val="clear" w:color="auto" w:fill="3300FF"/>
        <w:rPr>
          <w:rFonts w:ascii="Verdana" w:hAnsi="Verdana"/>
          <w:color w:val="FFFFFF"/>
          <w:sz w:val="26"/>
          <w:szCs w:val="26"/>
        </w:rPr>
      </w:pPr>
      <w:bookmarkStart w:id="5" w:name="a6"/>
      <w:bookmarkEnd w:id="5"/>
      <w:r>
        <w:rPr>
          <w:rFonts w:ascii="Verdana" w:hAnsi="Verdana"/>
          <w:color w:val="FFFFFF"/>
          <w:sz w:val="26"/>
          <w:szCs w:val="26"/>
        </w:rPr>
        <w:t>Permis d’utiliser des ressources naturelles</w:t>
      </w:r>
    </w:p>
    <w:p w14:paraId="0A67B905" w14:textId="77777777" w:rsidR="008E220F" w:rsidRDefault="008E220F" w:rsidP="008E220F">
      <w:pPr>
        <w:pStyle w:val="NormalWeb"/>
        <w:ind w:left="240" w:right="240" w:firstLine="240"/>
        <w:jc w:val="both"/>
        <w:rPr>
          <w:rFonts w:ascii="Verdana" w:hAnsi="Verdana"/>
          <w:color w:val="000000"/>
          <w:sz w:val="27"/>
          <w:szCs w:val="27"/>
        </w:rPr>
      </w:pPr>
      <w:r>
        <w:rPr>
          <w:rFonts w:ascii="Verdana" w:hAnsi="Verdana"/>
          <w:color w:val="000000"/>
          <w:sz w:val="27"/>
          <w:szCs w:val="27"/>
        </w:rPr>
        <w:t>15.26 Les permis d’utiliser des ressources naturelles peuvent être délivrés par les administrations publiques, mais aussi par des propriétaires privés, comme les exploitants agricoles et les entreprises.</w:t>
      </w:r>
    </w:p>
    <w:p w14:paraId="4831A7EB" w14:textId="77777777" w:rsidR="008E220F" w:rsidRDefault="008E220F" w:rsidP="008E220F">
      <w:pPr>
        <w:pStyle w:val="NormalWeb"/>
        <w:ind w:left="240" w:right="240" w:firstLine="240"/>
        <w:jc w:val="both"/>
        <w:rPr>
          <w:rFonts w:ascii="Verdana" w:hAnsi="Verdana"/>
          <w:color w:val="000000"/>
          <w:sz w:val="27"/>
          <w:szCs w:val="27"/>
        </w:rPr>
      </w:pPr>
      <w:r>
        <w:rPr>
          <w:rFonts w:ascii="Verdana" w:hAnsi="Verdana"/>
          <w:color w:val="000000"/>
          <w:sz w:val="27"/>
          <w:szCs w:val="27"/>
        </w:rPr>
        <w:t>15.27 Lorsque des permis d’utiliser des ressources naturelles sont délivrés, trois options d’enregistrement peuvent être envisagées (voir tableau 15.3) :</w:t>
      </w:r>
    </w:p>
    <w:p w14:paraId="3403B791" w14:textId="77777777" w:rsidR="008E220F" w:rsidRDefault="008E220F" w:rsidP="008E220F">
      <w:pPr>
        <w:pStyle w:val="par"/>
        <w:numPr>
          <w:ilvl w:val="0"/>
          <w:numId w:val="38"/>
        </w:numPr>
        <w:ind w:right="240"/>
        <w:jc w:val="both"/>
        <w:rPr>
          <w:rFonts w:ascii="Verdana" w:hAnsi="Verdana"/>
          <w:color w:val="000000"/>
          <w:sz w:val="27"/>
          <w:szCs w:val="27"/>
        </w:rPr>
      </w:pPr>
      <w:r>
        <w:rPr>
          <w:rFonts w:ascii="Verdana" w:hAnsi="Verdana"/>
          <w:color w:val="000000"/>
          <w:sz w:val="27"/>
          <w:szCs w:val="27"/>
        </w:rPr>
        <w:t>a) le propriétaire peut prolonger ou retirer le permis d’utiliser l’actif d’une période à l’autre;</w:t>
      </w:r>
    </w:p>
    <w:p w14:paraId="0DA5FD50" w14:textId="77777777" w:rsidR="008E220F" w:rsidRDefault="008E220F" w:rsidP="008E220F">
      <w:pPr>
        <w:pStyle w:val="par"/>
        <w:numPr>
          <w:ilvl w:val="0"/>
          <w:numId w:val="38"/>
        </w:numPr>
        <w:ind w:right="240"/>
        <w:jc w:val="both"/>
        <w:rPr>
          <w:rFonts w:ascii="Verdana" w:hAnsi="Verdana"/>
          <w:color w:val="000000"/>
          <w:sz w:val="27"/>
          <w:szCs w:val="27"/>
        </w:rPr>
      </w:pPr>
      <w:r>
        <w:rPr>
          <w:rFonts w:ascii="Verdana" w:hAnsi="Verdana"/>
          <w:color w:val="000000"/>
          <w:sz w:val="27"/>
          <w:szCs w:val="27"/>
        </w:rPr>
        <w:t>b) le propriétaire peut autoriser l’utilisation de la ressource pendant une durée prolongée, de telle sorte que l’utilisateur contrôle effectivement l’exploitation de la ressource durant cette période, sans intervention (ou alors minime) du propriétaire;</w:t>
      </w:r>
    </w:p>
    <w:p w14:paraId="33F38C0D" w14:textId="77777777" w:rsidR="008E220F" w:rsidRDefault="008E220F" w:rsidP="008E220F">
      <w:pPr>
        <w:pStyle w:val="par"/>
        <w:numPr>
          <w:ilvl w:val="0"/>
          <w:numId w:val="38"/>
        </w:numPr>
        <w:ind w:right="240"/>
        <w:jc w:val="both"/>
        <w:rPr>
          <w:rFonts w:ascii="Verdana" w:hAnsi="Verdana"/>
          <w:color w:val="000000"/>
          <w:sz w:val="27"/>
          <w:szCs w:val="27"/>
        </w:rPr>
      </w:pPr>
      <w:r>
        <w:rPr>
          <w:rFonts w:ascii="Verdana" w:hAnsi="Verdana"/>
          <w:color w:val="000000"/>
          <w:sz w:val="27"/>
          <w:szCs w:val="27"/>
        </w:rPr>
        <w:t>c) le propriétaire peut autoriser que la ressource soit utilisée jusqu’à épuisement.</w:t>
      </w:r>
    </w:p>
    <w:p w14:paraId="2150AC16" w14:textId="77777777" w:rsidR="008E220F" w:rsidRDefault="008E220F" w:rsidP="008E220F">
      <w:pPr>
        <w:pStyle w:val="NormalWeb"/>
        <w:ind w:left="240" w:right="240" w:firstLine="240"/>
        <w:jc w:val="both"/>
        <w:rPr>
          <w:rFonts w:ascii="Verdana" w:hAnsi="Verdana"/>
          <w:color w:val="000000"/>
          <w:sz w:val="27"/>
          <w:szCs w:val="27"/>
        </w:rPr>
      </w:pPr>
      <w:r>
        <w:rPr>
          <w:rFonts w:ascii="Verdana" w:hAnsi="Verdana"/>
          <w:color w:val="000000"/>
          <w:sz w:val="27"/>
          <w:szCs w:val="27"/>
        </w:rPr>
        <w:t>La première option est comptabilisée comme une location de ressources et enregistrée sous forme de loyers.</w:t>
      </w:r>
    </w:p>
    <w:p w14:paraId="2EE687E8" w14:textId="77777777" w:rsidR="008E220F" w:rsidRDefault="008E220F" w:rsidP="008E220F">
      <w:pPr>
        <w:pStyle w:val="NormalWeb"/>
        <w:ind w:left="240" w:right="240" w:firstLine="240"/>
        <w:jc w:val="both"/>
        <w:rPr>
          <w:rFonts w:ascii="Verdana" w:hAnsi="Verdana"/>
          <w:color w:val="000000"/>
          <w:sz w:val="27"/>
          <w:szCs w:val="27"/>
        </w:rPr>
      </w:pPr>
      <w:r>
        <w:rPr>
          <w:rFonts w:ascii="Verdana" w:hAnsi="Verdana"/>
          <w:color w:val="000000"/>
          <w:sz w:val="27"/>
          <w:szCs w:val="27"/>
        </w:rPr>
        <w:t>La deuxième option conduit non seulement à l’enregistrement d’un loyer, mais aussi à la création d’un actif pour l’utilisateur, distinct de la ressource en elle-même, mais où la valeur de la ressource et l’actif qui en permet l’utilisation sont liés.</w:t>
      </w:r>
    </w:p>
    <w:p w14:paraId="5CF8A6CC" w14:textId="77777777" w:rsidR="008E220F" w:rsidRDefault="008E220F" w:rsidP="008E220F">
      <w:pPr>
        <w:pStyle w:val="NormalWeb"/>
        <w:ind w:left="240" w:right="240" w:firstLine="240"/>
        <w:jc w:val="both"/>
        <w:rPr>
          <w:rFonts w:ascii="Verdana" w:hAnsi="Verdana"/>
          <w:color w:val="000000"/>
          <w:sz w:val="27"/>
          <w:szCs w:val="27"/>
        </w:rPr>
      </w:pPr>
      <w:r>
        <w:rPr>
          <w:rFonts w:ascii="Verdana" w:hAnsi="Verdana"/>
          <w:color w:val="000000"/>
          <w:sz w:val="27"/>
          <w:szCs w:val="27"/>
        </w:rPr>
        <w:t>Un tel actif (catégorie AN.222) est reconnu uniquement si la valeur des avantages qu’il confère dépasse le montant des redevances à payer et que le titulaire peut réaliser cette valeur en transférant l’actif à un tiers. Ces permis sont pris en compte dans un premier temps en tant qu’apparition économique d’actifs [catégorie K.1, voir point 6.06 g)]. Si la valeur de l’actif n’est pas réalisée, elle s’approchera progressivement de zéro vers la fin de la période du bail.</w:t>
      </w:r>
    </w:p>
    <w:p w14:paraId="4A23BFF1" w14:textId="77777777" w:rsidR="008E220F" w:rsidRDefault="008E220F" w:rsidP="008E220F">
      <w:pPr>
        <w:pStyle w:val="NormalWeb"/>
        <w:ind w:left="240" w:right="240" w:firstLine="240"/>
        <w:jc w:val="both"/>
        <w:rPr>
          <w:rFonts w:ascii="Verdana" w:hAnsi="Verdana"/>
          <w:color w:val="000000"/>
          <w:sz w:val="27"/>
          <w:szCs w:val="27"/>
        </w:rPr>
      </w:pPr>
      <w:r>
        <w:rPr>
          <w:rFonts w:ascii="Verdana" w:hAnsi="Verdana"/>
          <w:color w:val="000000"/>
          <w:sz w:val="27"/>
          <w:szCs w:val="27"/>
        </w:rPr>
        <w:lastRenderedPageBreak/>
        <w:t>La troisième option a pour conséquence la vente de la ressource naturelle elle-même (ou éventuellement une expropriation).</w:t>
      </w:r>
    </w:p>
    <w:p w14:paraId="5887669A" w14:textId="71A195B3" w:rsidR="008E220F" w:rsidRDefault="008E220F" w:rsidP="008E220F">
      <w:pPr>
        <w:rPr>
          <w:rFonts w:ascii="Times New Roman" w:hAnsi="Times New Roman"/>
          <w:sz w:val="24"/>
          <w:szCs w:val="24"/>
        </w:rPr>
      </w:pPr>
      <w:r>
        <w:rPr>
          <w:noProof/>
        </w:rPr>
        <w:drawing>
          <wp:inline distT="0" distB="0" distL="0" distR="0" wp14:anchorId="47603421" wp14:editId="2F6FDDED">
            <wp:extent cx="5760720" cy="1513205"/>
            <wp:effectExtent l="0" t="0" r="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1513205"/>
                    </a:xfrm>
                    <a:prstGeom prst="rect">
                      <a:avLst/>
                    </a:prstGeom>
                    <a:noFill/>
                    <a:ln>
                      <a:noFill/>
                    </a:ln>
                  </pic:spPr>
                </pic:pic>
              </a:graphicData>
            </a:graphic>
          </wp:inline>
        </w:drawing>
      </w:r>
      <w:r>
        <w:rPr>
          <w:rFonts w:ascii="Verdana" w:hAnsi="Verdana"/>
          <w:color w:val="000000"/>
          <w:sz w:val="27"/>
          <w:szCs w:val="27"/>
        </w:rPr>
        <w:br/>
      </w:r>
    </w:p>
    <w:p w14:paraId="5D780AEB" w14:textId="77777777" w:rsidR="008E220F" w:rsidRDefault="008E220F" w:rsidP="008E220F">
      <w:pPr>
        <w:pStyle w:val="NormalWeb"/>
        <w:ind w:left="240" w:right="240" w:firstLine="240"/>
        <w:jc w:val="both"/>
        <w:rPr>
          <w:rFonts w:ascii="Verdana" w:hAnsi="Verdana"/>
          <w:color w:val="000000"/>
          <w:sz w:val="27"/>
          <w:szCs w:val="27"/>
        </w:rPr>
      </w:pPr>
      <w:r>
        <w:rPr>
          <w:rFonts w:ascii="Verdana" w:hAnsi="Verdana"/>
          <w:color w:val="000000"/>
          <w:sz w:val="27"/>
          <w:szCs w:val="27"/>
        </w:rPr>
        <w:t>15.28 Pour faire la distinction entre loyer, création d’un nouvel actif et vente de la ressource naturelle, le critère fondamental est le transfert des risques et des avantages. La ressource naturelle est vendue si tous les risques et avantages ont été transférés.</w:t>
      </w:r>
    </w:p>
    <w:p w14:paraId="6147C591" w14:textId="77777777" w:rsidR="008E220F" w:rsidRDefault="008E220F" w:rsidP="008E220F">
      <w:pPr>
        <w:pStyle w:val="NormalWeb"/>
        <w:ind w:left="240" w:right="240" w:firstLine="240"/>
        <w:jc w:val="both"/>
        <w:rPr>
          <w:rFonts w:ascii="Verdana" w:hAnsi="Verdana"/>
          <w:color w:val="000000"/>
          <w:sz w:val="27"/>
          <w:szCs w:val="27"/>
        </w:rPr>
      </w:pPr>
      <w:r>
        <w:rPr>
          <w:rFonts w:ascii="Verdana" w:hAnsi="Verdana"/>
          <w:color w:val="000000"/>
          <w:sz w:val="27"/>
          <w:szCs w:val="27"/>
        </w:rPr>
        <w:t>Un nouvel actif est créé si le transfert des risques et avantages a pour effet la création d’un permis distinct et transférable avec une valeur réalisable. Il peut être trompeur de s’appuyer sur d’autres critères, notamment les accords préalables sur les paiements, les paiements initiaux, la durée du permis et le traitement dans les comptes d’entreprise, car ils ne reflètent pas nécessairement le transfert des risques et des avantages.</w:t>
      </w:r>
    </w:p>
    <w:p w14:paraId="1973309B" w14:textId="77777777" w:rsidR="008E220F" w:rsidRDefault="008E220F" w:rsidP="008E220F">
      <w:pPr>
        <w:pStyle w:val="NormalWeb"/>
        <w:ind w:left="240" w:right="240" w:firstLine="240"/>
        <w:jc w:val="both"/>
        <w:rPr>
          <w:rFonts w:ascii="Verdana" w:hAnsi="Verdana"/>
          <w:color w:val="000000"/>
          <w:sz w:val="27"/>
          <w:szCs w:val="27"/>
        </w:rPr>
      </w:pPr>
      <w:r>
        <w:rPr>
          <w:rFonts w:ascii="Verdana" w:hAnsi="Verdana"/>
          <w:color w:val="000000"/>
          <w:sz w:val="27"/>
          <w:szCs w:val="27"/>
        </w:rPr>
        <w:t>15.29 Les ressources naturelles, comme les terrains et les ressources minérales, peuvent être acquises par des non-résidents. Toutefois, la vente de ressources naturelles ne doit pas être enregistrée comme une vente à une unité non résidente. Dans un tel cas, une unité résidente fictive est créée et détient le titre de propriété de la ressource naturelle; l’unité non résidente possède alors le capital de l’unité résidente fictive. Un enregistrement similaire est effectué en cas d’acquisition par des résidents de ressources naturelles dans le reste du monde.</w:t>
      </w:r>
    </w:p>
    <w:p w14:paraId="731C777B" w14:textId="77777777" w:rsidR="008E220F" w:rsidRDefault="008E220F" w:rsidP="008E220F">
      <w:pPr>
        <w:pStyle w:val="NormalWeb"/>
        <w:ind w:left="240" w:right="240" w:firstLine="240"/>
        <w:jc w:val="both"/>
        <w:rPr>
          <w:rFonts w:ascii="Verdana" w:hAnsi="Verdana"/>
          <w:color w:val="000000"/>
          <w:sz w:val="27"/>
          <w:szCs w:val="27"/>
        </w:rPr>
      </w:pPr>
      <w:r>
        <w:rPr>
          <w:rFonts w:ascii="Verdana" w:hAnsi="Verdana"/>
          <w:color w:val="000000"/>
          <w:sz w:val="27"/>
          <w:szCs w:val="27"/>
        </w:rPr>
        <w:t>15.30 Les revenus que tirent les administrations publiques d’un type donné de ressources naturelles (par exemple, les revenus du pétrole et du gaz naturel) peuvent couvrir une large variété d’opérations, notamment :</w:t>
      </w:r>
    </w:p>
    <w:p w14:paraId="2620AD56" w14:textId="77777777" w:rsidR="008E220F" w:rsidRDefault="008E220F" w:rsidP="008E220F">
      <w:pPr>
        <w:pStyle w:val="par"/>
        <w:numPr>
          <w:ilvl w:val="0"/>
          <w:numId w:val="39"/>
        </w:numPr>
        <w:ind w:right="240"/>
        <w:jc w:val="both"/>
        <w:rPr>
          <w:rFonts w:ascii="Verdana" w:hAnsi="Verdana"/>
          <w:color w:val="000000"/>
          <w:sz w:val="27"/>
          <w:szCs w:val="27"/>
        </w:rPr>
      </w:pPr>
      <w:r>
        <w:rPr>
          <w:rFonts w:ascii="Verdana" w:hAnsi="Verdana"/>
          <w:color w:val="000000"/>
          <w:sz w:val="27"/>
          <w:szCs w:val="27"/>
        </w:rPr>
        <w:lastRenderedPageBreak/>
        <w:t>a) loyers dans le cas de locations de ressources;</w:t>
      </w:r>
    </w:p>
    <w:p w14:paraId="4EA67543" w14:textId="77777777" w:rsidR="008E220F" w:rsidRDefault="008E220F" w:rsidP="008E220F">
      <w:pPr>
        <w:pStyle w:val="par"/>
        <w:numPr>
          <w:ilvl w:val="0"/>
          <w:numId w:val="39"/>
        </w:numPr>
        <w:ind w:right="240"/>
        <w:jc w:val="both"/>
        <w:rPr>
          <w:rFonts w:ascii="Verdana" w:hAnsi="Verdana"/>
          <w:color w:val="000000"/>
          <w:sz w:val="27"/>
          <w:szCs w:val="27"/>
        </w:rPr>
      </w:pPr>
      <w:r>
        <w:rPr>
          <w:rFonts w:ascii="Verdana" w:hAnsi="Verdana"/>
          <w:color w:val="000000"/>
          <w:sz w:val="27"/>
          <w:szCs w:val="27"/>
        </w:rPr>
        <w:t>b) mise à disposition d’actifs non produits, par exemple ventes de ressources naturelles ou ventes de licences d’exploitation pour une durée prolongée;</w:t>
      </w:r>
    </w:p>
    <w:p w14:paraId="62ED6DF2" w14:textId="77777777" w:rsidR="008E220F" w:rsidRDefault="008E220F" w:rsidP="008E220F">
      <w:pPr>
        <w:pStyle w:val="par"/>
        <w:numPr>
          <w:ilvl w:val="0"/>
          <w:numId w:val="39"/>
        </w:numPr>
        <w:ind w:right="240"/>
        <w:jc w:val="both"/>
        <w:rPr>
          <w:rFonts w:ascii="Verdana" w:hAnsi="Verdana"/>
          <w:color w:val="000000"/>
          <w:sz w:val="27"/>
          <w:szCs w:val="27"/>
        </w:rPr>
      </w:pPr>
      <w:r>
        <w:rPr>
          <w:rFonts w:ascii="Verdana" w:hAnsi="Verdana"/>
          <w:color w:val="000000"/>
          <w:sz w:val="27"/>
          <w:szCs w:val="27"/>
        </w:rPr>
        <w:t>c) dividendes provenant de sociétés publiques exploitant des ressources naturelles;</w:t>
      </w:r>
    </w:p>
    <w:p w14:paraId="499FB840" w14:textId="77777777" w:rsidR="008E220F" w:rsidRDefault="008E220F" w:rsidP="008E220F">
      <w:pPr>
        <w:pStyle w:val="par"/>
        <w:numPr>
          <w:ilvl w:val="0"/>
          <w:numId w:val="39"/>
        </w:numPr>
        <w:ind w:right="240"/>
        <w:jc w:val="both"/>
        <w:rPr>
          <w:rFonts w:ascii="Verdana" w:hAnsi="Verdana"/>
          <w:color w:val="000000"/>
          <w:sz w:val="27"/>
          <w:szCs w:val="27"/>
        </w:rPr>
      </w:pPr>
      <w:r>
        <w:rPr>
          <w:rFonts w:ascii="Verdana" w:hAnsi="Verdana"/>
          <w:color w:val="000000"/>
          <w:sz w:val="27"/>
          <w:szCs w:val="27"/>
        </w:rPr>
        <w:t>d) impôts sur les sociétés payés par les sociétés qui exploitent les ressources naturelles.</w:t>
      </w:r>
    </w:p>
    <w:p w14:paraId="0F6C5934" w14:textId="77777777" w:rsidR="008E220F" w:rsidRDefault="008E220F" w:rsidP="008E220F">
      <w:pPr>
        <w:pStyle w:val="Titre2"/>
        <w:shd w:val="clear" w:color="auto" w:fill="3300FF"/>
        <w:rPr>
          <w:rFonts w:ascii="Verdana" w:hAnsi="Verdana"/>
          <w:color w:val="FFFFFF"/>
          <w:sz w:val="26"/>
          <w:szCs w:val="26"/>
        </w:rPr>
      </w:pPr>
      <w:bookmarkStart w:id="6" w:name="a7"/>
      <w:bookmarkEnd w:id="6"/>
      <w:r>
        <w:rPr>
          <w:rFonts w:ascii="Verdana" w:hAnsi="Verdana"/>
          <w:color w:val="FFFFFF"/>
          <w:sz w:val="26"/>
          <w:szCs w:val="26"/>
        </w:rPr>
        <w:t>Permis d’entreprendre une activité particulière</w:t>
      </w:r>
    </w:p>
    <w:p w14:paraId="4AA6CD39" w14:textId="77777777" w:rsidR="008E220F" w:rsidRDefault="008E220F" w:rsidP="008E220F">
      <w:pPr>
        <w:pStyle w:val="NormalWeb"/>
        <w:ind w:left="240" w:right="240" w:firstLine="240"/>
        <w:jc w:val="both"/>
        <w:rPr>
          <w:rFonts w:ascii="Verdana" w:hAnsi="Verdana"/>
          <w:color w:val="000000"/>
          <w:sz w:val="27"/>
          <w:szCs w:val="27"/>
        </w:rPr>
      </w:pPr>
      <w:r>
        <w:rPr>
          <w:rFonts w:ascii="Verdana" w:hAnsi="Verdana"/>
          <w:color w:val="000000"/>
          <w:sz w:val="27"/>
          <w:szCs w:val="27"/>
        </w:rPr>
        <w:t>15.31 Outre les licences et les baux pour l’utilisation d’un actif, un permis peut être octroyé pour entreprendre une activité particulière indépendamment des actifs utilisés dans l’activité. Les permis ne dépendent pas de critères d’éligibilité (par exemple, la réussite d’un examen pour l’obtention du permis de conduire une automobile) mais sont conçus pour limiter le nombre d’unités individuelles habilitées à entreprendre l’activité en question. Ces permis peuvent être délivrés par les administrations publiques ou par des unités institutionnelles privées, et des traitements différents s’appliquent à ces deux cas de figure.</w:t>
      </w:r>
    </w:p>
    <w:p w14:paraId="7C1BD96C" w14:textId="074056ED" w:rsidR="008E220F" w:rsidRDefault="008E220F" w:rsidP="008E220F">
      <w:pPr>
        <w:rPr>
          <w:rFonts w:ascii="Times New Roman" w:hAnsi="Times New Roman"/>
          <w:sz w:val="24"/>
          <w:szCs w:val="24"/>
        </w:rPr>
      </w:pPr>
      <w:r>
        <w:rPr>
          <w:noProof/>
        </w:rPr>
        <w:lastRenderedPageBreak/>
        <w:drawing>
          <wp:inline distT="0" distB="0" distL="0" distR="0" wp14:anchorId="50BCB11A" wp14:editId="1E42E462">
            <wp:extent cx="5760720" cy="6042025"/>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6042025"/>
                    </a:xfrm>
                    <a:prstGeom prst="rect">
                      <a:avLst/>
                    </a:prstGeom>
                    <a:noFill/>
                    <a:ln>
                      <a:noFill/>
                    </a:ln>
                  </pic:spPr>
                </pic:pic>
              </a:graphicData>
            </a:graphic>
          </wp:inline>
        </w:drawing>
      </w:r>
      <w:r>
        <w:rPr>
          <w:rFonts w:ascii="Verdana" w:hAnsi="Verdana"/>
          <w:color w:val="000000"/>
          <w:sz w:val="27"/>
          <w:szCs w:val="27"/>
        </w:rPr>
        <w:br/>
      </w:r>
    </w:p>
    <w:p w14:paraId="5370FCA5" w14:textId="77777777" w:rsidR="008E220F" w:rsidRDefault="008E220F" w:rsidP="008E220F">
      <w:pPr>
        <w:pStyle w:val="NormalWeb"/>
        <w:ind w:left="240" w:right="240" w:firstLine="240"/>
        <w:jc w:val="both"/>
        <w:rPr>
          <w:rFonts w:ascii="Verdana" w:hAnsi="Verdana"/>
          <w:color w:val="000000"/>
          <w:sz w:val="27"/>
          <w:szCs w:val="27"/>
        </w:rPr>
      </w:pPr>
      <w:r>
        <w:rPr>
          <w:rFonts w:ascii="Verdana" w:hAnsi="Verdana"/>
          <w:color w:val="000000"/>
          <w:sz w:val="27"/>
          <w:szCs w:val="27"/>
        </w:rPr>
        <w:t>15.32 Si les administrations publiques limitent le nombre de véhicules habilités à être exploités comme taxis ou restreignent le nombre de casinos en délivrant des licences, par exemple, elles créent effectivement des profits de monopole pour les opérateurs agréés et récupèrent une partie des profits par le biais des droits acquittés. Ces droits sont enregistrés dans les autres impôts. Cette règle s’applique à tous les cas dans lesquels les administrations publiques délivrent des permis visant à limiter le nombre d’unités opérant dans un domaine particulier, avec une limite fixée arbitrairement et qui ne dépend pas uniquement de critères d’éligibilité.</w:t>
      </w:r>
    </w:p>
    <w:p w14:paraId="30991BE3" w14:textId="77777777" w:rsidR="008E220F" w:rsidRDefault="008E220F" w:rsidP="008E220F">
      <w:pPr>
        <w:pStyle w:val="NormalWeb"/>
        <w:ind w:left="240" w:right="240" w:firstLine="240"/>
        <w:jc w:val="both"/>
        <w:rPr>
          <w:rFonts w:ascii="Verdana" w:hAnsi="Verdana"/>
          <w:color w:val="000000"/>
          <w:sz w:val="27"/>
          <w:szCs w:val="27"/>
        </w:rPr>
      </w:pPr>
      <w:r>
        <w:rPr>
          <w:rFonts w:ascii="Verdana" w:hAnsi="Verdana"/>
          <w:color w:val="000000"/>
          <w:sz w:val="27"/>
          <w:szCs w:val="27"/>
        </w:rPr>
        <w:lastRenderedPageBreak/>
        <w:t>15.33 En principe, si le permis est valable pour plusieurs années, le paiement doit être enregistré sur la base des droits constatés avec un poste d’autre compte à recevoir ou à payer correspondant au montant des droits du permis pour les années à venir.</w:t>
      </w:r>
    </w:p>
    <w:p w14:paraId="7CCF940D" w14:textId="77777777" w:rsidR="008E220F" w:rsidRDefault="008E220F" w:rsidP="008E220F">
      <w:pPr>
        <w:pStyle w:val="NormalWeb"/>
        <w:ind w:left="240" w:right="240" w:firstLine="240"/>
        <w:jc w:val="both"/>
        <w:rPr>
          <w:rFonts w:ascii="Verdana" w:hAnsi="Verdana"/>
          <w:color w:val="000000"/>
          <w:sz w:val="27"/>
          <w:szCs w:val="27"/>
        </w:rPr>
      </w:pPr>
      <w:r>
        <w:rPr>
          <w:rFonts w:ascii="Verdana" w:hAnsi="Verdana"/>
          <w:color w:val="000000"/>
          <w:sz w:val="27"/>
          <w:szCs w:val="27"/>
        </w:rPr>
        <w:t>15.34 Ce qui incite à acquérir un tel permis, c’est que son titulaire pense qu’il obtient ainsi le droit de faire des profits de monopole par des revenus futurs supérieurs au montant payé pour acquérir ces droits. La valeur des avantages conférés au titulaire dépassant la valeur revenant à l’émetteur du permis est considérée comme un actif si le titulaire peut la réaliser en transférant l’actif. Ce type d’actif est décrit comme un permis d’entreprendre une activité particulière (AN.223).</w:t>
      </w:r>
    </w:p>
    <w:p w14:paraId="426FA697" w14:textId="77777777" w:rsidR="008E220F" w:rsidRDefault="008E220F" w:rsidP="008E220F">
      <w:pPr>
        <w:pStyle w:val="NormalWeb"/>
        <w:ind w:left="240" w:right="240" w:firstLine="240"/>
        <w:jc w:val="both"/>
        <w:rPr>
          <w:rFonts w:ascii="Verdana" w:hAnsi="Verdana"/>
          <w:color w:val="000000"/>
          <w:sz w:val="27"/>
          <w:szCs w:val="27"/>
        </w:rPr>
      </w:pPr>
      <w:r>
        <w:rPr>
          <w:rFonts w:ascii="Verdana" w:hAnsi="Verdana"/>
          <w:color w:val="000000"/>
          <w:sz w:val="27"/>
          <w:szCs w:val="27"/>
        </w:rPr>
        <w:t>15.35 Les permis d’entreprendre une activité particulière assimilés à un actif apparaissent en premier lieu dans le compte des autres changements de volume d’actifs. Les variations de valeur, à la hausse comme à la baisse, sont enregistrées dans le compte de réévaluation.</w:t>
      </w:r>
    </w:p>
    <w:p w14:paraId="5056D009" w14:textId="77777777" w:rsidR="008E220F" w:rsidRDefault="008E220F" w:rsidP="008E220F">
      <w:pPr>
        <w:pStyle w:val="NormalWeb"/>
        <w:ind w:left="240" w:right="240" w:firstLine="240"/>
        <w:jc w:val="both"/>
        <w:rPr>
          <w:rFonts w:ascii="Verdana" w:hAnsi="Verdana"/>
          <w:color w:val="000000"/>
          <w:sz w:val="27"/>
          <w:szCs w:val="27"/>
        </w:rPr>
      </w:pPr>
      <w:r>
        <w:rPr>
          <w:rFonts w:ascii="Verdana" w:hAnsi="Verdana"/>
          <w:color w:val="000000"/>
          <w:sz w:val="27"/>
          <w:szCs w:val="27"/>
        </w:rPr>
        <w:t>15.36 La valeur du permis en tant qu’actif est déterminée par la valeur à laquelle il peut être vendu ou, en l’absence d’un tel chiffre, elle est estimée comme étant la valeur actuelle du flux futur de profits de monopole. Lorsque le permis est revendu, le nouveau propriétaire obtient le droit de recevoir un remboursement des administrations publiques si le permis est annulé, ainsi que le droit de générer des profits de monopole.</w:t>
      </w:r>
    </w:p>
    <w:p w14:paraId="2D77D9AA" w14:textId="77777777" w:rsidR="008E220F" w:rsidRDefault="008E220F" w:rsidP="008E220F">
      <w:pPr>
        <w:pStyle w:val="NormalWeb"/>
        <w:ind w:left="240" w:right="240" w:firstLine="240"/>
        <w:jc w:val="both"/>
        <w:rPr>
          <w:rFonts w:ascii="Verdana" w:hAnsi="Verdana"/>
          <w:color w:val="000000"/>
          <w:sz w:val="27"/>
          <w:szCs w:val="27"/>
        </w:rPr>
      </w:pPr>
      <w:r>
        <w:rPr>
          <w:rFonts w:ascii="Verdana" w:hAnsi="Verdana"/>
          <w:color w:val="000000"/>
          <w:sz w:val="27"/>
          <w:szCs w:val="27"/>
        </w:rPr>
        <w:t>15.37 Un permis délivré par les administrations publiques pour entreprendre une activité particulière est considérée comme un actif uniquement si toutes les conditions suivantes sont réunies :</w:t>
      </w:r>
    </w:p>
    <w:p w14:paraId="69E613EA" w14:textId="77777777" w:rsidR="008E220F" w:rsidRDefault="008E220F" w:rsidP="008E220F">
      <w:pPr>
        <w:pStyle w:val="par"/>
        <w:numPr>
          <w:ilvl w:val="0"/>
          <w:numId w:val="40"/>
        </w:numPr>
        <w:ind w:right="240"/>
        <w:jc w:val="both"/>
        <w:rPr>
          <w:rFonts w:ascii="Verdana" w:hAnsi="Verdana"/>
          <w:color w:val="000000"/>
          <w:sz w:val="27"/>
          <w:szCs w:val="27"/>
        </w:rPr>
      </w:pPr>
      <w:r>
        <w:rPr>
          <w:rFonts w:ascii="Verdana" w:hAnsi="Verdana"/>
          <w:color w:val="000000"/>
          <w:sz w:val="27"/>
          <w:szCs w:val="27"/>
        </w:rPr>
        <w:t>a) l’activité concernée n’utilise pas un actif appartenant aux administrations publiques; dans le cas contraire, le permis d’utiliser l’actif est considéré comme une location simple, un crédit-bail, une location de ressources ou éventuellement l’acquisition d’un actif représentant un permis d’utiliser l’actif à la discrétion du titulaire du permis sur une période prolongée;</w:t>
      </w:r>
    </w:p>
    <w:p w14:paraId="3A96EAF3" w14:textId="77777777" w:rsidR="008E220F" w:rsidRDefault="008E220F" w:rsidP="008E220F">
      <w:pPr>
        <w:pStyle w:val="par"/>
        <w:numPr>
          <w:ilvl w:val="0"/>
          <w:numId w:val="40"/>
        </w:numPr>
        <w:ind w:right="240"/>
        <w:jc w:val="both"/>
        <w:rPr>
          <w:rFonts w:ascii="Verdana" w:hAnsi="Verdana"/>
          <w:color w:val="000000"/>
          <w:sz w:val="27"/>
          <w:szCs w:val="27"/>
        </w:rPr>
      </w:pPr>
      <w:r>
        <w:rPr>
          <w:rFonts w:ascii="Verdana" w:hAnsi="Verdana"/>
          <w:color w:val="000000"/>
          <w:sz w:val="27"/>
          <w:szCs w:val="27"/>
        </w:rPr>
        <w:lastRenderedPageBreak/>
        <w:t>b) le permis n’est pas délivré sous réserve de critères d’éligibilité; ces permis sont traités comme des taxes ou des paiements de services;</w:t>
      </w:r>
    </w:p>
    <w:p w14:paraId="4AC0382E" w14:textId="77777777" w:rsidR="008E220F" w:rsidRDefault="008E220F" w:rsidP="008E220F">
      <w:pPr>
        <w:pStyle w:val="par"/>
        <w:numPr>
          <w:ilvl w:val="0"/>
          <w:numId w:val="40"/>
        </w:numPr>
        <w:ind w:right="240"/>
        <w:jc w:val="both"/>
        <w:rPr>
          <w:rFonts w:ascii="Verdana" w:hAnsi="Verdana"/>
          <w:color w:val="000000"/>
          <w:sz w:val="27"/>
          <w:szCs w:val="27"/>
        </w:rPr>
      </w:pPr>
      <w:r>
        <w:rPr>
          <w:rFonts w:ascii="Verdana" w:hAnsi="Verdana"/>
          <w:color w:val="000000"/>
          <w:sz w:val="27"/>
          <w:szCs w:val="27"/>
        </w:rPr>
        <w:t>c) le nombre de permis est limité, ce qui permet à leurs détenteurs de réaliser des profits de monopole en exerçant l’activité concernée;</w:t>
      </w:r>
    </w:p>
    <w:p w14:paraId="4B3816A0" w14:textId="77777777" w:rsidR="008E220F" w:rsidRDefault="008E220F" w:rsidP="008E220F">
      <w:pPr>
        <w:pStyle w:val="par"/>
        <w:numPr>
          <w:ilvl w:val="0"/>
          <w:numId w:val="40"/>
        </w:numPr>
        <w:ind w:right="240"/>
        <w:jc w:val="both"/>
        <w:rPr>
          <w:rFonts w:ascii="Verdana" w:hAnsi="Verdana"/>
          <w:color w:val="000000"/>
          <w:sz w:val="27"/>
          <w:szCs w:val="27"/>
        </w:rPr>
      </w:pPr>
      <w:r>
        <w:rPr>
          <w:rFonts w:ascii="Verdana" w:hAnsi="Verdana"/>
          <w:color w:val="000000"/>
          <w:sz w:val="27"/>
          <w:szCs w:val="27"/>
        </w:rPr>
        <w:t>d) le détenteur d’un permis doit avoir la possibilité de vendre ce permis à un tiers.</w:t>
      </w:r>
    </w:p>
    <w:p w14:paraId="41C8D0C4" w14:textId="77777777" w:rsidR="008E220F" w:rsidRDefault="008E220F" w:rsidP="008E220F">
      <w:pPr>
        <w:pStyle w:val="NormalWeb"/>
        <w:ind w:left="240" w:right="240" w:firstLine="240"/>
        <w:jc w:val="both"/>
        <w:rPr>
          <w:rFonts w:ascii="Verdana" w:hAnsi="Verdana"/>
          <w:color w:val="000000"/>
          <w:sz w:val="27"/>
          <w:szCs w:val="27"/>
        </w:rPr>
      </w:pPr>
      <w:r>
        <w:rPr>
          <w:rFonts w:ascii="Verdana" w:hAnsi="Verdana"/>
          <w:color w:val="000000"/>
          <w:sz w:val="27"/>
          <w:szCs w:val="27"/>
        </w:rPr>
        <w:t>Si l’une de ces conditions n’est pas remplie, les paiements sont considérés comme des impôts ou des paiements pour des services.</w:t>
      </w:r>
    </w:p>
    <w:p w14:paraId="4FFDC479" w14:textId="77777777" w:rsidR="008E220F" w:rsidRDefault="008E220F" w:rsidP="008E220F">
      <w:pPr>
        <w:pStyle w:val="NormalWeb"/>
        <w:ind w:left="240" w:right="240" w:firstLine="240"/>
        <w:jc w:val="both"/>
        <w:rPr>
          <w:rFonts w:ascii="Verdana" w:hAnsi="Verdana"/>
          <w:color w:val="000000"/>
          <w:sz w:val="27"/>
          <w:szCs w:val="27"/>
        </w:rPr>
      </w:pPr>
      <w:r>
        <w:rPr>
          <w:rFonts w:ascii="Verdana" w:hAnsi="Verdana"/>
          <w:color w:val="000000"/>
          <w:sz w:val="27"/>
          <w:szCs w:val="27"/>
        </w:rPr>
        <w:t>15.38 Il est beaucoup plus rare que des unités autres que les administrations publiques limitent la participation à une activité donnée. Citons, par exemple, le cas dans lequel il est soit obligatoire, soit recommandé d’appartenir à une association professionnelle, avec un nombre de participants strictement limité. Autre exemple, lorsque le propriétaire d’un lieu limite le nombre d’unités autorisées à opérer sur sa propriété, par exemple un hôtel ayant pour politique d’autoriser seulement une compagnie de taxis à prendre ses clients. Dans ce type de cas, les permis sont traités comme des paiements pour des services. En principe, le paiement est enregistré sur la base des droits constatés durant toute la période de validité du permis. Il n’existe pas de motif de principe empêchant ces permis d’être traités comme des actifs s’ils sont négociables, bien que ce ne soit pas souvent le cas.</w:t>
      </w:r>
    </w:p>
    <w:p w14:paraId="5567248E" w14:textId="77777777" w:rsidR="008E220F" w:rsidRDefault="008E220F" w:rsidP="008E220F">
      <w:pPr>
        <w:pStyle w:val="NormalWeb"/>
        <w:ind w:left="240" w:right="240" w:firstLine="240"/>
        <w:jc w:val="both"/>
        <w:rPr>
          <w:rFonts w:ascii="Verdana" w:hAnsi="Verdana"/>
          <w:color w:val="000000"/>
          <w:sz w:val="27"/>
          <w:szCs w:val="27"/>
        </w:rPr>
      </w:pPr>
      <w:r>
        <w:rPr>
          <w:rFonts w:ascii="Verdana" w:hAnsi="Verdana"/>
          <w:color w:val="000000"/>
          <w:sz w:val="27"/>
          <w:szCs w:val="27"/>
        </w:rPr>
        <w:t>15.39 Un permis délivré par une unité autre que les administrations publiques pour entreprendre une activité particulière est considéré comme un actif uniquement si toutes les conditions suivantes sont réunies :</w:t>
      </w:r>
    </w:p>
    <w:p w14:paraId="70F24A2D" w14:textId="77777777" w:rsidR="008E220F" w:rsidRDefault="008E220F" w:rsidP="008E220F">
      <w:pPr>
        <w:pStyle w:val="par"/>
        <w:numPr>
          <w:ilvl w:val="0"/>
          <w:numId w:val="41"/>
        </w:numPr>
        <w:ind w:right="240"/>
        <w:jc w:val="both"/>
        <w:rPr>
          <w:rFonts w:ascii="Verdana" w:hAnsi="Verdana"/>
          <w:color w:val="000000"/>
          <w:sz w:val="27"/>
          <w:szCs w:val="27"/>
        </w:rPr>
      </w:pPr>
      <w:r>
        <w:rPr>
          <w:rFonts w:ascii="Verdana" w:hAnsi="Verdana"/>
          <w:color w:val="000000"/>
          <w:sz w:val="27"/>
          <w:szCs w:val="27"/>
        </w:rPr>
        <w:t>a) l’activité concernée n’utilise pas un actif appartenant à l’émetteur du permis; dans le cas contraire, le permis d’utiliser l’actif est considéré comme une location simple, un crédit-bail ou une location de ressources;</w:t>
      </w:r>
    </w:p>
    <w:p w14:paraId="1A14A473" w14:textId="77777777" w:rsidR="008E220F" w:rsidRDefault="008E220F" w:rsidP="008E220F">
      <w:pPr>
        <w:pStyle w:val="par"/>
        <w:numPr>
          <w:ilvl w:val="0"/>
          <w:numId w:val="41"/>
        </w:numPr>
        <w:ind w:right="240"/>
        <w:jc w:val="both"/>
        <w:rPr>
          <w:rFonts w:ascii="Verdana" w:hAnsi="Verdana"/>
          <w:color w:val="000000"/>
          <w:sz w:val="27"/>
          <w:szCs w:val="27"/>
        </w:rPr>
      </w:pPr>
      <w:r>
        <w:rPr>
          <w:rFonts w:ascii="Verdana" w:hAnsi="Verdana"/>
          <w:color w:val="000000"/>
          <w:sz w:val="27"/>
          <w:szCs w:val="27"/>
        </w:rPr>
        <w:t>b) le nombre de permis est limité, ce qui permet à leurs détenteurs de réaliser des profits de monopole en exerçant l’activité concernée;</w:t>
      </w:r>
    </w:p>
    <w:p w14:paraId="24F58C3F" w14:textId="77777777" w:rsidR="008E220F" w:rsidRDefault="008E220F" w:rsidP="008E220F">
      <w:pPr>
        <w:pStyle w:val="par"/>
        <w:numPr>
          <w:ilvl w:val="0"/>
          <w:numId w:val="41"/>
        </w:numPr>
        <w:ind w:right="240"/>
        <w:jc w:val="both"/>
        <w:rPr>
          <w:rFonts w:ascii="Verdana" w:hAnsi="Verdana"/>
          <w:color w:val="000000"/>
          <w:sz w:val="27"/>
          <w:szCs w:val="27"/>
        </w:rPr>
      </w:pPr>
      <w:r>
        <w:rPr>
          <w:rFonts w:ascii="Verdana" w:hAnsi="Verdana"/>
          <w:color w:val="000000"/>
          <w:sz w:val="27"/>
          <w:szCs w:val="27"/>
        </w:rPr>
        <w:t>c) le détenteur d’un permis doit avoir la possibilité, à la fois légalement et en pratique, de vendre ce permis à un tiers.</w:t>
      </w:r>
    </w:p>
    <w:p w14:paraId="7B1216C3" w14:textId="77777777" w:rsidR="008E220F" w:rsidRDefault="008E220F" w:rsidP="008E220F">
      <w:pPr>
        <w:pStyle w:val="NormalWeb"/>
        <w:ind w:left="240" w:right="240" w:firstLine="240"/>
        <w:jc w:val="both"/>
        <w:rPr>
          <w:rFonts w:ascii="Verdana" w:hAnsi="Verdana"/>
          <w:color w:val="000000"/>
          <w:sz w:val="27"/>
          <w:szCs w:val="27"/>
        </w:rPr>
      </w:pPr>
      <w:r>
        <w:rPr>
          <w:rFonts w:ascii="Verdana" w:hAnsi="Verdana"/>
          <w:color w:val="000000"/>
          <w:sz w:val="27"/>
          <w:szCs w:val="27"/>
        </w:rPr>
        <w:lastRenderedPageBreak/>
        <w:t>Si l’une des conditions n’est pas respectée, les paiements sont enregistrés en paiements pour un service.</w:t>
      </w:r>
    </w:p>
    <w:p w14:paraId="00003ACB" w14:textId="77777777" w:rsidR="008E220F" w:rsidRDefault="008E220F" w:rsidP="008E220F">
      <w:pPr>
        <w:pStyle w:val="NormalWeb"/>
        <w:ind w:left="240" w:right="240" w:firstLine="240"/>
        <w:jc w:val="both"/>
        <w:rPr>
          <w:rFonts w:ascii="Verdana" w:hAnsi="Verdana"/>
          <w:color w:val="000000"/>
          <w:sz w:val="27"/>
          <w:szCs w:val="27"/>
        </w:rPr>
      </w:pPr>
      <w:r>
        <w:rPr>
          <w:rFonts w:ascii="Verdana" w:hAnsi="Verdana"/>
          <w:color w:val="000000"/>
          <w:sz w:val="27"/>
          <w:szCs w:val="27"/>
        </w:rPr>
        <w:t>15.40 Les administrations publiques délivrent des permis d’émission dans le but de contrôler les émissions totales. Ces permis n’impliquent pas l’utilisation d’un actif naturel: aucune valeur n’étant attribuée à l’atmosphère, celle-ci ne peut pas être considérée comme un actif économique, et les droits de ces permis sont donc classés dans les impôts. Les permis sont négociables et il existe un marché actif pour eux. Ils constituent par conséquent des actifs et doivent être évalués au prix du marché auquel ils peuvent être vendus.</w:t>
      </w:r>
    </w:p>
    <w:p w14:paraId="23DC2C47" w14:textId="77777777" w:rsidR="008E220F" w:rsidRDefault="008E220F" w:rsidP="008E220F">
      <w:pPr>
        <w:pStyle w:val="Titre2"/>
        <w:shd w:val="clear" w:color="auto" w:fill="3300FF"/>
        <w:rPr>
          <w:rFonts w:ascii="Verdana" w:hAnsi="Verdana"/>
          <w:color w:val="FFFFFF"/>
          <w:sz w:val="26"/>
          <w:szCs w:val="26"/>
        </w:rPr>
      </w:pPr>
      <w:bookmarkStart w:id="7" w:name="a8"/>
      <w:bookmarkEnd w:id="7"/>
      <w:r>
        <w:rPr>
          <w:rFonts w:ascii="Verdana" w:hAnsi="Verdana"/>
          <w:color w:val="FFFFFF"/>
          <w:sz w:val="26"/>
          <w:szCs w:val="26"/>
        </w:rPr>
        <w:t>Partenariats public-privé (PPP)</w:t>
      </w:r>
    </w:p>
    <w:p w14:paraId="509B71EA" w14:textId="77777777" w:rsidR="008E220F" w:rsidRDefault="008E220F" w:rsidP="008E220F">
      <w:pPr>
        <w:pStyle w:val="NormalWeb"/>
        <w:ind w:left="240" w:right="240" w:firstLine="240"/>
        <w:jc w:val="both"/>
        <w:rPr>
          <w:rFonts w:ascii="Verdana" w:hAnsi="Verdana"/>
          <w:color w:val="000000"/>
          <w:sz w:val="27"/>
          <w:szCs w:val="27"/>
        </w:rPr>
      </w:pPr>
      <w:r>
        <w:rPr>
          <w:rFonts w:ascii="Verdana" w:hAnsi="Verdana"/>
          <w:color w:val="000000"/>
          <w:sz w:val="27"/>
          <w:szCs w:val="27"/>
        </w:rPr>
        <w:t>15.41 Les partenariats public-privé (PPP) sont des contrats de longue durée entre deux unités dans le cadre desquels une unité acquiert ou produit un actif ou un ensemble d’actifs, l’exploite pendant une période donnée, avant de le transférer à une autre unité. De tels contrats sont généralement conclus entre une entreprise privée et une administration publique, mais d’autres combinaisons sont possibles, par exemple une société publique peut être l’une des deux unités, ou encore une institution privée sans but lucratif peut être la seconde unité.</w:t>
      </w:r>
    </w:p>
    <w:p w14:paraId="766E08A1" w14:textId="77777777" w:rsidR="008E220F" w:rsidRDefault="008E220F" w:rsidP="008E220F">
      <w:pPr>
        <w:pStyle w:val="NormalWeb"/>
        <w:ind w:left="240" w:right="240" w:firstLine="240"/>
        <w:jc w:val="both"/>
        <w:rPr>
          <w:rFonts w:ascii="Verdana" w:hAnsi="Verdana"/>
          <w:color w:val="000000"/>
          <w:sz w:val="27"/>
          <w:szCs w:val="27"/>
        </w:rPr>
      </w:pPr>
      <w:r>
        <w:rPr>
          <w:rFonts w:ascii="Verdana" w:hAnsi="Verdana"/>
          <w:color w:val="000000"/>
          <w:sz w:val="27"/>
          <w:szCs w:val="27"/>
        </w:rPr>
        <w:t>Les administrations publiques s’engagent dans des PPP pour toute une série de raisons, notamment l’espoir qu’une gestion privée permettra de rendre la production plus efficace, l’accès à un plus large choix de sources financières ou encore le souhait de réduire la dette publique.</w:t>
      </w:r>
    </w:p>
    <w:p w14:paraId="764DF488" w14:textId="77777777" w:rsidR="008E220F" w:rsidRDefault="008E220F" w:rsidP="008E220F">
      <w:pPr>
        <w:pStyle w:val="NormalWeb"/>
        <w:ind w:left="240" w:right="240" w:firstLine="240"/>
        <w:jc w:val="both"/>
        <w:rPr>
          <w:rFonts w:ascii="Verdana" w:hAnsi="Verdana"/>
          <w:color w:val="000000"/>
          <w:sz w:val="27"/>
          <w:szCs w:val="27"/>
        </w:rPr>
      </w:pPr>
      <w:r>
        <w:rPr>
          <w:rFonts w:ascii="Verdana" w:hAnsi="Verdana"/>
          <w:color w:val="000000"/>
          <w:sz w:val="27"/>
          <w:szCs w:val="27"/>
        </w:rPr>
        <w:t>Pendant la durée du contrat, le contractant du PPP détient la propriété légale. Une fois la période du contrat expirée, l’administration publique détient à la fois la propriété économique et la propriété légale.</w:t>
      </w:r>
    </w:p>
    <w:p w14:paraId="27AB02EA" w14:textId="77777777" w:rsidR="008E220F" w:rsidRDefault="008E220F" w:rsidP="008E220F">
      <w:pPr>
        <w:pStyle w:val="NormalWeb"/>
        <w:ind w:left="240" w:right="240" w:firstLine="240"/>
        <w:jc w:val="both"/>
        <w:rPr>
          <w:rFonts w:ascii="Verdana" w:hAnsi="Verdana"/>
          <w:color w:val="000000"/>
          <w:sz w:val="27"/>
          <w:szCs w:val="27"/>
        </w:rPr>
      </w:pPr>
      <w:r>
        <w:rPr>
          <w:rFonts w:ascii="Verdana" w:hAnsi="Verdana"/>
          <w:color w:val="000000"/>
          <w:sz w:val="27"/>
          <w:szCs w:val="27"/>
        </w:rPr>
        <w:t>Le chapitre 20 (comptes des administrations publiques) contient des informations plus détaillées concernant le traitement des PPP.</w:t>
      </w:r>
    </w:p>
    <w:p w14:paraId="669B8813" w14:textId="77777777" w:rsidR="008E220F" w:rsidRDefault="008E220F" w:rsidP="008E220F">
      <w:pPr>
        <w:pStyle w:val="Titre2"/>
        <w:shd w:val="clear" w:color="auto" w:fill="3300FF"/>
        <w:rPr>
          <w:rFonts w:ascii="Verdana" w:hAnsi="Verdana"/>
          <w:color w:val="FFFFFF"/>
          <w:sz w:val="26"/>
          <w:szCs w:val="26"/>
        </w:rPr>
      </w:pPr>
      <w:bookmarkStart w:id="8" w:name="a9"/>
      <w:bookmarkEnd w:id="8"/>
      <w:r>
        <w:rPr>
          <w:rFonts w:ascii="Verdana" w:hAnsi="Verdana"/>
          <w:color w:val="FFFFFF"/>
          <w:sz w:val="26"/>
          <w:szCs w:val="26"/>
        </w:rPr>
        <w:t>Contrats de concession de services</w:t>
      </w:r>
    </w:p>
    <w:p w14:paraId="77C01C29" w14:textId="77777777" w:rsidR="008E220F" w:rsidRDefault="008E220F" w:rsidP="008E220F">
      <w:pPr>
        <w:pStyle w:val="NormalWeb"/>
        <w:ind w:left="240" w:right="240" w:firstLine="240"/>
        <w:jc w:val="both"/>
        <w:rPr>
          <w:rFonts w:ascii="Verdana" w:hAnsi="Verdana"/>
          <w:color w:val="000000"/>
          <w:sz w:val="27"/>
          <w:szCs w:val="27"/>
        </w:rPr>
      </w:pPr>
      <w:r>
        <w:rPr>
          <w:rFonts w:ascii="Verdana" w:hAnsi="Verdana"/>
          <w:color w:val="000000"/>
          <w:sz w:val="27"/>
          <w:szCs w:val="27"/>
        </w:rPr>
        <w:lastRenderedPageBreak/>
        <w:t>15.42 Les contrats de concession de services confèrent à une société le droit exclusif de fournir certains services. Par exemple, dans le cas d’une concession de service public, une société privée conclut un accord avec l’administration publique pour obtenir le droit exclusif d’exploiter un service public (comme un réseau de distribution d’eau ou un péage d’autoroute), d’en assurer la maintenance et de réaliser des investissements pendant un certain nombre d’années. Les contrats de concession de services ne sont pas comptabilisés comme des actifs, dans la mesure où ils ne sont pas transférables ou qu’aucune valeur n’est réalisable au moyen d’un transfert.</w:t>
      </w:r>
    </w:p>
    <w:p w14:paraId="20055A3E" w14:textId="77777777" w:rsidR="008E220F" w:rsidRDefault="008E220F" w:rsidP="008E220F">
      <w:pPr>
        <w:pStyle w:val="Titre2"/>
        <w:shd w:val="clear" w:color="auto" w:fill="3300FF"/>
        <w:rPr>
          <w:rFonts w:ascii="Verdana" w:hAnsi="Verdana"/>
          <w:color w:val="FFFFFF"/>
          <w:sz w:val="26"/>
          <w:szCs w:val="26"/>
        </w:rPr>
      </w:pPr>
      <w:bookmarkStart w:id="9" w:name="a10"/>
      <w:bookmarkEnd w:id="9"/>
      <w:r>
        <w:rPr>
          <w:rFonts w:ascii="Verdana" w:hAnsi="Verdana"/>
          <w:color w:val="FFFFFF"/>
          <w:sz w:val="26"/>
          <w:szCs w:val="26"/>
        </w:rPr>
        <w:t>Licences d’exploitation transférables (AN.221)</w:t>
      </w:r>
    </w:p>
    <w:p w14:paraId="0863AE0E" w14:textId="77777777" w:rsidR="008E220F" w:rsidRDefault="008E220F" w:rsidP="008E220F">
      <w:pPr>
        <w:pStyle w:val="NormalWeb"/>
        <w:ind w:left="240" w:right="240" w:firstLine="240"/>
        <w:jc w:val="both"/>
        <w:rPr>
          <w:rFonts w:ascii="Verdana" w:hAnsi="Verdana"/>
          <w:color w:val="000000"/>
          <w:sz w:val="27"/>
          <w:szCs w:val="27"/>
        </w:rPr>
      </w:pPr>
      <w:r>
        <w:rPr>
          <w:rFonts w:ascii="Verdana" w:hAnsi="Verdana"/>
          <w:color w:val="000000"/>
          <w:sz w:val="27"/>
          <w:szCs w:val="27"/>
        </w:rPr>
        <w:t>15.43 Les licences d’exploitation transférables sont des droits de propriété de tiers concernant des actifs non financiers autres que des ressources naturelles. La licence doit conférer au détenteur des avantages économiques supérieurs aux droits à payer, et le détenteur devrait pouvoir réaliser ces bénéfices en la transférant. La valeur de la licence correspond à la valeur des avantages conférés au détenteur dépassant la valeur revenant à l’émetteur. Les licences d’exploitation transférables peuvent inclure tous les types de loyers et de contrats de location simple. Un locataire peut, par exemple, sous-louer un appartement à un tiers.</w:t>
      </w:r>
    </w:p>
    <w:p w14:paraId="73190508" w14:textId="77777777" w:rsidR="008E220F" w:rsidRDefault="008E220F" w:rsidP="008E220F">
      <w:pPr>
        <w:pStyle w:val="Titre2"/>
        <w:shd w:val="clear" w:color="auto" w:fill="3300FF"/>
        <w:rPr>
          <w:rFonts w:ascii="Verdana" w:hAnsi="Verdana"/>
          <w:color w:val="FFFFFF"/>
          <w:sz w:val="26"/>
          <w:szCs w:val="26"/>
        </w:rPr>
      </w:pPr>
      <w:bookmarkStart w:id="10" w:name="a11"/>
      <w:bookmarkEnd w:id="10"/>
      <w:r>
        <w:rPr>
          <w:rFonts w:ascii="Verdana" w:hAnsi="Verdana"/>
          <w:color w:val="FFFFFF"/>
          <w:sz w:val="26"/>
          <w:szCs w:val="26"/>
        </w:rPr>
        <w:t>Droits d’exclusivité sur des biens et services futurs (AN.224)</w:t>
      </w:r>
    </w:p>
    <w:p w14:paraId="21E2FBB8" w14:textId="77777777" w:rsidR="008E220F" w:rsidRDefault="008E220F" w:rsidP="008E220F">
      <w:pPr>
        <w:pStyle w:val="NormalWeb"/>
        <w:ind w:left="240" w:right="240" w:firstLine="240"/>
        <w:jc w:val="both"/>
        <w:rPr>
          <w:rFonts w:ascii="Verdana" w:hAnsi="Verdana"/>
          <w:color w:val="000000"/>
          <w:sz w:val="27"/>
          <w:szCs w:val="27"/>
        </w:rPr>
      </w:pPr>
      <w:r>
        <w:rPr>
          <w:rFonts w:ascii="Verdana" w:hAnsi="Verdana"/>
          <w:color w:val="000000"/>
          <w:sz w:val="27"/>
          <w:szCs w:val="27"/>
        </w:rPr>
        <w:t>15.44 Les contrats portant sur une production future peuvent également donner lieu à des actifs correspondant à des droits de propriété de tiers. La valeur de ces contrats est égale aux avantages conférés au titulaire dépassant la valeur revenant à l’émetteur des droits. Voici quelques exemples de sujets couverts par ce type de comptes :</w:t>
      </w:r>
    </w:p>
    <w:p w14:paraId="1BDF8668" w14:textId="77777777" w:rsidR="008E220F" w:rsidRDefault="008E220F" w:rsidP="008E220F">
      <w:pPr>
        <w:pStyle w:val="par"/>
        <w:numPr>
          <w:ilvl w:val="0"/>
          <w:numId w:val="42"/>
        </w:numPr>
        <w:ind w:right="240"/>
        <w:jc w:val="both"/>
        <w:rPr>
          <w:rFonts w:ascii="Verdana" w:hAnsi="Verdana"/>
          <w:color w:val="000000"/>
          <w:sz w:val="27"/>
          <w:szCs w:val="27"/>
        </w:rPr>
      </w:pPr>
      <w:r>
        <w:rPr>
          <w:rFonts w:ascii="Verdana" w:hAnsi="Verdana"/>
          <w:color w:val="000000"/>
          <w:sz w:val="27"/>
          <w:szCs w:val="27"/>
        </w:rPr>
        <w:t>a) le droit exclusif de faire travailler une personne pour soi (footballeurs professionnels, par exemple) ou de publier des œuvres littéraires ou musicales. La valeur de ces droits correspond au profit qui peut être réalisé en transférant les droits au-delà des coûts induits par l’annulation du contrat existant;</w:t>
      </w:r>
    </w:p>
    <w:p w14:paraId="6933FEF9" w14:textId="77777777" w:rsidR="008E220F" w:rsidRDefault="008E220F" w:rsidP="008E220F">
      <w:pPr>
        <w:pStyle w:val="par"/>
        <w:numPr>
          <w:ilvl w:val="0"/>
          <w:numId w:val="42"/>
        </w:numPr>
        <w:ind w:right="240"/>
        <w:jc w:val="both"/>
        <w:rPr>
          <w:rFonts w:ascii="Verdana" w:hAnsi="Verdana"/>
          <w:color w:val="000000"/>
          <w:sz w:val="27"/>
          <w:szCs w:val="27"/>
        </w:rPr>
      </w:pPr>
      <w:r>
        <w:rPr>
          <w:rFonts w:ascii="Verdana" w:hAnsi="Verdana"/>
          <w:color w:val="000000"/>
          <w:sz w:val="27"/>
          <w:szCs w:val="27"/>
        </w:rPr>
        <w:t>b) les contrats de multipropriété en temps partagé.</w:t>
      </w:r>
    </w:p>
    <w:p w14:paraId="0AC98355" w14:textId="77777777" w:rsidR="008E220F" w:rsidRDefault="008E220F" w:rsidP="008E220F">
      <w:pPr>
        <w:pStyle w:val="NormalWeb"/>
        <w:ind w:left="240" w:right="240" w:firstLine="240"/>
        <w:jc w:val="both"/>
        <w:rPr>
          <w:rFonts w:ascii="Verdana" w:hAnsi="Verdana"/>
          <w:color w:val="000000"/>
          <w:sz w:val="27"/>
          <w:szCs w:val="27"/>
        </w:rPr>
      </w:pPr>
      <w:r>
        <w:rPr>
          <w:rFonts w:ascii="Verdana" w:hAnsi="Verdana"/>
          <w:color w:val="000000"/>
          <w:sz w:val="27"/>
          <w:szCs w:val="27"/>
        </w:rPr>
        <w:lastRenderedPageBreak/>
        <w:t>Seuls certains contrats de multipropriété en temps partagé doivent être considérés comme l’acquisition d’un actif :</w:t>
      </w:r>
    </w:p>
    <w:p w14:paraId="6FC0046E" w14:textId="77777777" w:rsidR="008E220F" w:rsidRDefault="008E220F" w:rsidP="008E220F">
      <w:pPr>
        <w:pStyle w:val="par"/>
        <w:numPr>
          <w:ilvl w:val="0"/>
          <w:numId w:val="43"/>
        </w:numPr>
        <w:ind w:right="240"/>
        <w:jc w:val="both"/>
        <w:rPr>
          <w:rFonts w:ascii="Verdana" w:hAnsi="Verdana"/>
          <w:color w:val="000000"/>
          <w:sz w:val="27"/>
          <w:szCs w:val="27"/>
        </w:rPr>
      </w:pPr>
      <w:r>
        <w:rPr>
          <w:rFonts w:ascii="Verdana" w:hAnsi="Verdana"/>
          <w:color w:val="000000"/>
          <w:sz w:val="27"/>
          <w:szCs w:val="27"/>
        </w:rPr>
        <w:t>1) si le propriétaire possède un espace désigné, disponible de façon pérenne, qu’il remplit les conditions pour occuper un poste au sein du comité de gestion du système et qu’il peut vendre ou léguer son droit à volonté, il est très probable que le contrat en question soit un actif de même type qu’un logement;</w:t>
      </w:r>
    </w:p>
    <w:p w14:paraId="3476E4C6" w14:textId="77777777" w:rsidR="008E220F" w:rsidRDefault="008E220F" w:rsidP="008E220F">
      <w:pPr>
        <w:pStyle w:val="par"/>
        <w:numPr>
          <w:ilvl w:val="0"/>
          <w:numId w:val="43"/>
        </w:numPr>
        <w:ind w:right="240"/>
        <w:jc w:val="both"/>
        <w:rPr>
          <w:rFonts w:ascii="Verdana" w:hAnsi="Verdana"/>
          <w:color w:val="000000"/>
          <w:sz w:val="27"/>
          <w:szCs w:val="27"/>
        </w:rPr>
      </w:pPr>
      <w:r>
        <w:rPr>
          <w:rFonts w:ascii="Verdana" w:hAnsi="Verdana"/>
          <w:color w:val="000000"/>
          <w:sz w:val="27"/>
          <w:szCs w:val="27"/>
        </w:rPr>
        <w:t>2) si le propriétaire a un contrat fixe lui offrant une certaine forme de logement à une période donnée pour une durée définie, il est probable que celui-ci représente une location payée d’avance, c’est-à-dire une dépense de consommation finale prépayée par les ménages;</w:t>
      </w:r>
    </w:p>
    <w:p w14:paraId="503360A9" w14:textId="77777777" w:rsidR="008E220F" w:rsidRDefault="008E220F" w:rsidP="008E220F">
      <w:pPr>
        <w:pStyle w:val="par"/>
        <w:numPr>
          <w:ilvl w:val="0"/>
          <w:numId w:val="43"/>
        </w:numPr>
        <w:ind w:right="240"/>
        <w:jc w:val="both"/>
        <w:rPr>
          <w:rFonts w:ascii="Verdana" w:hAnsi="Verdana"/>
          <w:color w:val="000000"/>
          <w:sz w:val="27"/>
          <w:szCs w:val="27"/>
        </w:rPr>
      </w:pPr>
      <w:r>
        <w:rPr>
          <w:rFonts w:ascii="Verdana" w:hAnsi="Verdana"/>
          <w:color w:val="000000"/>
          <w:sz w:val="27"/>
          <w:szCs w:val="27"/>
        </w:rPr>
        <w:t>3) cette location payée d’avance peut être sous-louée occasionnellement ou vendue pour le restant de la période du bail sous forme de location simple transférable;</w:t>
      </w:r>
    </w:p>
    <w:p w14:paraId="5E102057" w14:textId="77777777" w:rsidR="008E220F" w:rsidRDefault="008E220F" w:rsidP="008E220F">
      <w:pPr>
        <w:pStyle w:val="par"/>
        <w:numPr>
          <w:ilvl w:val="0"/>
          <w:numId w:val="43"/>
        </w:numPr>
        <w:ind w:right="240"/>
        <w:jc w:val="both"/>
        <w:rPr>
          <w:rFonts w:ascii="Verdana" w:hAnsi="Verdana"/>
          <w:color w:val="000000"/>
          <w:sz w:val="27"/>
          <w:szCs w:val="27"/>
        </w:rPr>
      </w:pPr>
      <w:r>
        <w:rPr>
          <w:rFonts w:ascii="Verdana" w:hAnsi="Verdana"/>
          <w:color w:val="000000"/>
          <w:sz w:val="27"/>
          <w:szCs w:val="27"/>
        </w:rPr>
        <w:t>4) un participant à un système fondé sur des points peut avoir un compte à recevoir uniquement par le biais d’un actif.</w:t>
      </w:r>
    </w:p>
    <w:p w14:paraId="79838135" w14:textId="34FE5C35" w:rsidR="004E105A" w:rsidRPr="00792E30" w:rsidRDefault="004E105A" w:rsidP="00792E30"/>
    <w:sectPr w:rsidR="004E105A" w:rsidRPr="00792E30">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D83892" w14:textId="77777777" w:rsidR="00B24BBA" w:rsidRDefault="00B24BBA" w:rsidP="00293B27">
      <w:pPr>
        <w:spacing w:after="0" w:line="240" w:lineRule="auto"/>
      </w:pPr>
      <w:r>
        <w:separator/>
      </w:r>
    </w:p>
  </w:endnote>
  <w:endnote w:type="continuationSeparator" w:id="0">
    <w:p w14:paraId="2415FEED" w14:textId="77777777" w:rsidR="00B24BBA" w:rsidRDefault="00B24BBA" w:rsidP="00293B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810C14" w14:textId="77777777" w:rsidR="008F3DF4" w:rsidRDefault="008F3DF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44C998" w14:textId="70835AA7" w:rsidR="00E408E3" w:rsidRDefault="00E408E3">
    <w:pPr>
      <w:pStyle w:val="Pieddepage"/>
    </w:pPr>
    <w:r>
      <w:t>Francis Malherbe</w:t>
    </w:r>
    <w:r>
      <w:ptab w:relativeTo="margin" w:alignment="center" w:leader="none"/>
    </w:r>
    <w:hyperlink r:id="rId1" w:history="1">
      <w:r w:rsidRPr="00293B27">
        <w:rPr>
          <w:rStyle w:val="Lienhypertexte"/>
        </w:rPr>
        <w:t>www.comptanat.fr</w:t>
      </w:r>
    </w:hyperlink>
    <w:r>
      <w:ptab w:relativeTo="margin" w:alignment="right" w:leader="none"/>
    </w:r>
    <w:r>
      <w:fldChar w:fldCharType="begin"/>
    </w:r>
    <w:r>
      <w:instrText>PAGE   \* MERGEFORMAT</w:instrText>
    </w:r>
    <w:r>
      <w:fldChar w:fldCharType="separate"/>
    </w:r>
    <w: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855A65" w14:textId="77777777" w:rsidR="008F3DF4" w:rsidRDefault="008F3DF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1A07AD" w14:textId="77777777" w:rsidR="00B24BBA" w:rsidRDefault="00B24BBA" w:rsidP="00293B27">
      <w:pPr>
        <w:spacing w:after="0" w:line="240" w:lineRule="auto"/>
      </w:pPr>
      <w:r>
        <w:separator/>
      </w:r>
    </w:p>
  </w:footnote>
  <w:footnote w:type="continuationSeparator" w:id="0">
    <w:p w14:paraId="7A7ADBC3" w14:textId="77777777" w:rsidR="00B24BBA" w:rsidRDefault="00B24BBA" w:rsidP="00293B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7306F7" w14:textId="77777777" w:rsidR="008F3DF4" w:rsidRDefault="008F3DF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78B215" w14:textId="5F5380F4" w:rsidR="00E408E3" w:rsidRPr="00E408E3" w:rsidRDefault="00E408E3" w:rsidP="00E408E3">
    <w:pPr>
      <w:pStyle w:val="En-tte"/>
      <w:jc w:val="center"/>
      <w:rPr>
        <w:color w:val="0070C0"/>
      </w:rPr>
    </w:pPr>
    <w:r w:rsidRPr="00E408E3">
      <w:rPr>
        <w:color w:val="0070C0"/>
      </w:rPr>
      <w:t>Le Système européen des comptes SEC 2010</w:t>
    </w:r>
  </w:p>
  <w:p w14:paraId="2C34C2EF" w14:textId="77777777" w:rsidR="00E408E3" w:rsidRDefault="00E408E3">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99739D" w14:textId="77777777" w:rsidR="008F3DF4" w:rsidRDefault="008F3DF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423AA"/>
    <w:multiLevelType w:val="multilevel"/>
    <w:tmpl w:val="F88CC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872D2E"/>
    <w:multiLevelType w:val="multilevel"/>
    <w:tmpl w:val="D8B65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A86D51"/>
    <w:multiLevelType w:val="multilevel"/>
    <w:tmpl w:val="2E001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D35A84"/>
    <w:multiLevelType w:val="multilevel"/>
    <w:tmpl w:val="8F5E9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0D766F"/>
    <w:multiLevelType w:val="multilevel"/>
    <w:tmpl w:val="8FD2F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335133"/>
    <w:multiLevelType w:val="multilevel"/>
    <w:tmpl w:val="B9BE2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780490"/>
    <w:multiLevelType w:val="multilevel"/>
    <w:tmpl w:val="55200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926330"/>
    <w:multiLevelType w:val="multilevel"/>
    <w:tmpl w:val="FDE87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A957DB"/>
    <w:multiLevelType w:val="multilevel"/>
    <w:tmpl w:val="851C2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C71FF9"/>
    <w:multiLevelType w:val="multilevel"/>
    <w:tmpl w:val="8104D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794931"/>
    <w:multiLevelType w:val="multilevel"/>
    <w:tmpl w:val="31B8B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6D948DD"/>
    <w:multiLevelType w:val="multilevel"/>
    <w:tmpl w:val="0090D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9A1677F"/>
    <w:multiLevelType w:val="multilevel"/>
    <w:tmpl w:val="9B98A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BA131A6"/>
    <w:multiLevelType w:val="multilevel"/>
    <w:tmpl w:val="DA50D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BEB426C"/>
    <w:multiLevelType w:val="multilevel"/>
    <w:tmpl w:val="F51E0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EE16689"/>
    <w:multiLevelType w:val="multilevel"/>
    <w:tmpl w:val="DCFC5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F1B0A63"/>
    <w:multiLevelType w:val="multilevel"/>
    <w:tmpl w:val="35B02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14F0A80"/>
    <w:multiLevelType w:val="multilevel"/>
    <w:tmpl w:val="E4507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2293A64"/>
    <w:multiLevelType w:val="multilevel"/>
    <w:tmpl w:val="8F02B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27A47DD"/>
    <w:multiLevelType w:val="multilevel"/>
    <w:tmpl w:val="5B66D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43C581D"/>
    <w:multiLevelType w:val="multilevel"/>
    <w:tmpl w:val="44947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4660426"/>
    <w:multiLevelType w:val="multilevel"/>
    <w:tmpl w:val="97B47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A1529C2"/>
    <w:multiLevelType w:val="multilevel"/>
    <w:tmpl w:val="5FF83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1A3059C"/>
    <w:multiLevelType w:val="multilevel"/>
    <w:tmpl w:val="E2206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4170351"/>
    <w:multiLevelType w:val="multilevel"/>
    <w:tmpl w:val="E2D6E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B420E14"/>
    <w:multiLevelType w:val="multilevel"/>
    <w:tmpl w:val="9398D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BAF7609"/>
    <w:multiLevelType w:val="multilevel"/>
    <w:tmpl w:val="0EA8C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E824C21"/>
    <w:multiLevelType w:val="multilevel"/>
    <w:tmpl w:val="A8680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0BB0161"/>
    <w:multiLevelType w:val="multilevel"/>
    <w:tmpl w:val="335A5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0D4421C"/>
    <w:multiLevelType w:val="multilevel"/>
    <w:tmpl w:val="D55E1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29B7D8B"/>
    <w:multiLevelType w:val="multilevel"/>
    <w:tmpl w:val="38629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7D73AB8"/>
    <w:multiLevelType w:val="multilevel"/>
    <w:tmpl w:val="D5129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584767C"/>
    <w:multiLevelType w:val="multilevel"/>
    <w:tmpl w:val="A8F43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A5E00CC"/>
    <w:multiLevelType w:val="multilevel"/>
    <w:tmpl w:val="5BD0C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DEF6728"/>
    <w:multiLevelType w:val="multilevel"/>
    <w:tmpl w:val="731C6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EE25B7B"/>
    <w:multiLevelType w:val="multilevel"/>
    <w:tmpl w:val="9CBC6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405662F"/>
    <w:multiLevelType w:val="multilevel"/>
    <w:tmpl w:val="E7AAF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6546A8F"/>
    <w:multiLevelType w:val="multilevel"/>
    <w:tmpl w:val="57D28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846161C"/>
    <w:multiLevelType w:val="multilevel"/>
    <w:tmpl w:val="BB183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A4B1EAD"/>
    <w:multiLevelType w:val="multilevel"/>
    <w:tmpl w:val="EFE00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B893DD3"/>
    <w:multiLevelType w:val="multilevel"/>
    <w:tmpl w:val="041E5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C5B12BC"/>
    <w:multiLevelType w:val="multilevel"/>
    <w:tmpl w:val="D294F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FD85A59"/>
    <w:multiLevelType w:val="multilevel"/>
    <w:tmpl w:val="C4521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8"/>
  </w:num>
  <w:num w:numId="2">
    <w:abstractNumId w:val="27"/>
  </w:num>
  <w:num w:numId="3">
    <w:abstractNumId w:val="1"/>
  </w:num>
  <w:num w:numId="4">
    <w:abstractNumId w:val="15"/>
  </w:num>
  <w:num w:numId="5">
    <w:abstractNumId w:val="20"/>
  </w:num>
  <w:num w:numId="6">
    <w:abstractNumId w:val="42"/>
  </w:num>
  <w:num w:numId="7">
    <w:abstractNumId w:val="25"/>
  </w:num>
  <w:num w:numId="8">
    <w:abstractNumId w:val="16"/>
  </w:num>
  <w:num w:numId="9">
    <w:abstractNumId w:val="26"/>
  </w:num>
  <w:num w:numId="10">
    <w:abstractNumId w:val="9"/>
  </w:num>
  <w:num w:numId="11">
    <w:abstractNumId w:val="21"/>
  </w:num>
  <w:num w:numId="12">
    <w:abstractNumId w:val="7"/>
  </w:num>
  <w:num w:numId="13">
    <w:abstractNumId w:val="3"/>
  </w:num>
  <w:num w:numId="14">
    <w:abstractNumId w:val="6"/>
  </w:num>
  <w:num w:numId="15">
    <w:abstractNumId w:val="34"/>
  </w:num>
  <w:num w:numId="16">
    <w:abstractNumId w:val="24"/>
  </w:num>
  <w:num w:numId="17">
    <w:abstractNumId w:val="23"/>
  </w:num>
  <w:num w:numId="18">
    <w:abstractNumId w:val="5"/>
  </w:num>
  <w:num w:numId="19">
    <w:abstractNumId w:val="33"/>
  </w:num>
  <w:num w:numId="20">
    <w:abstractNumId w:val="36"/>
  </w:num>
  <w:num w:numId="21">
    <w:abstractNumId w:val="40"/>
  </w:num>
  <w:num w:numId="22">
    <w:abstractNumId w:val="0"/>
  </w:num>
  <w:num w:numId="23">
    <w:abstractNumId w:val="17"/>
  </w:num>
  <w:num w:numId="24">
    <w:abstractNumId w:val="2"/>
  </w:num>
  <w:num w:numId="25">
    <w:abstractNumId w:val="19"/>
  </w:num>
  <w:num w:numId="26">
    <w:abstractNumId w:val="28"/>
  </w:num>
  <w:num w:numId="27">
    <w:abstractNumId w:val="41"/>
  </w:num>
  <w:num w:numId="28">
    <w:abstractNumId w:val="32"/>
  </w:num>
  <w:num w:numId="29">
    <w:abstractNumId w:val="13"/>
  </w:num>
  <w:num w:numId="30">
    <w:abstractNumId w:val="30"/>
  </w:num>
  <w:num w:numId="31">
    <w:abstractNumId w:val="35"/>
  </w:num>
  <w:num w:numId="32">
    <w:abstractNumId w:val="4"/>
  </w:num>
  <w:num w:numId="33">
    <w:abstractNumId w:val="12"/>
  </w:num>
  <w:num w:numId="34">
    <w:abstractNumId w:val="22"/>
  </w:num>
  <w:num w:numId="35">
    <w:abstractNumId w:val="10"/>
  </w:num>
  <w:num w:numId="36">
    <w:abstractNumId w:val="31"/>
  </w:num>
  <w:num w:numId="37">
    <w:abstractNumId w:val="8"/>
  </w:num>
  <w:num w:numId="38">
    <w:abstractNumId w:val="39"/>
  </w:num>
  <w:num w:numId="39">
    <w:abstractNumId w:val="14"/>
  </w:num>
  <w:num w:numId="40">
    <w:abstractNumId w:val="18"/>
  </w:num>
  <w:num w:numId="41">
    <w:abstractNumId w:val="11"/>
  </w:num>
  <w:num w:numId="42">
    <w:abstractNumId w:val="29"/>
  </w:num>
  <w:num w:numId="43">
    <w:abstractNumId w:val="3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B27"/>
    <w:rsid w:val="00044E3E"/>
    <w:rsid w:val="00046E3A"/>
    <w:rsid w:val="0006448E"/>
    <w:rsid w:val="000700A2"/>
    <w:rsid w:val="0008591F"/>
    <w:rsid w:val="00093B2B"/>
    <w:rsid w:val="000A7729"/>
    <w:rsid w:val="000B01EF"/>
    <w:rsid w:val="000B7D09"/>
    <w:rsid w:val="000C67F0"/>
    <w:rsid w:val="000C74D6"/>
    <w:rsid w:val="00110E6A"/>
    <w:rsid w:val="0011224A"/>
    <w:rsid w:val="00143411"/>
    <w:rsid w:val="001445AC"/>
    <w:rsid w:val="001449DE"/>
    <w:rsid w:val="001837BD"/>
    <w:rsid w:val="001A4529"/>
    <w:rsid w:val="001A75EF"/>
    <w:rsid w:val="001F6BF5"/>
    <w:rsid w:val="002268F3"/>
    <w:rsid w:val="00227D2F"/>
    <w:rsid w:val="0023689C"/>
    <w:rsid w:val="00236B1C"/>
    <w:rsid w:val="00242D0A"/>
    <w:rsid w:val="00244602"/>
    <w:rsid w:val="002469CF"/>
    <w:rsid w:val="00280FFF"/>
    <w:rsid w:val="00293B27"/>
    <w:rsid w:val="002A3F5D"/>
    <w:rsid w:val="002C3D71"/>
    <w:rsid w:val="002D494B"/>
    <w:rsid w:val="00302DB7"/>
    <w:rsid w:val="003A7241"/>
    <w:rsid w:val="003B70B9"/>
    <w:rsid w:val="00401AC3"/>
    <w:rsid w:val="004545C1"/>
    <w:rsid w:val="004577E4"/>
    <w:rsid w:val="004E105A"/>
    <w:rsid w:val="004F6FEC"/>
    <w:rsid w:val="00530EDA"/>
    <w:rsid w:val="00542155"/>
    <w:rsid w:val="00555B8D"/>
    <w:rsid w:val="00562934"/>
    <w:rsid w:val="005837C9"/>
    <w:rsid w:val="005C3EB6"/>
    <w:rsid w:val="005C647F"/>
    <w:rsid w:val="005D7299"/>
    <w:rsid w:val="00617538"/>
    <w:rsid w:val="006271D3"/>
    <w:rsid w:val="006466F3"/>
    <w:rsid w:val="006D2FA1"/>
    <w:rsid w:val="006E5CFB"/>
    <w:rsid w:val="006E6D4A"/>
    <w:rsid w:val="00711775"/>
    <w:rsid w:val="00732617"/>
    <w:rsid w:val="0078442D"/>
    <w:rsid w:val="007874BC"/>
    <w:rsid w:val="00792E30"/>
    <w:rsid w:val="00793CAB"/>
    <w:rsid w:val="007A63BE"/>
    <w:rsid w:val="007B16C1"/>
    <w:rsid w:val="007B6369"/>
    <w:rsid w:val="007C7CE7"/>
    <w:rsid w:val="007D63FE"/>
    <w:rsid w:val="007E12D5"/>
    <w:rsid w:val="007E3917"/>
    <w:rsid w:val="007E4FE7"/>
    <w:rsid w:val="008045F0"/>
    <w:rsid w:val="00813A96"/>
    <w:rsid w:val="00817B5B"/>
    <w:rsid w:val="008361AB"/>
    <w:rsid w:val="008504DA"/>
    <w:rsid w:val="00855685"/>
    <w:rsid w:val="00856B0A"/>
    <w:rsid w:val="008632F6"/>
    <w:rsid w:val="008802BA"/>
    <w:rsid w:val="00881087"/>
    <w:rsid w:val="008B446D"/>
    <w:rsid w:val="008C419E"/>
    <w:rsid w:val="008D05A1"/>
    <w:rsid w:val="008E220F"/>
    <w:rsid w:val="008F3DF4"/>
    <w:rsid w:val="009009C5"/>
    <w:rsid w:val="00911AF1"/>
    <w:rsid w:val="00956E60"/>
    <w:rsid w:val="00990D81"/>
    <w:rsid w:val="009C4EAD"/>
    <w:rsid w:val="009D78CF"/>
    <w:rsid w:val="009E5219"/>
    <w:rsid w:val="009F4E31"/>
    <w:rsid w:val="00A64FA8"/>
    <w:rsid w:val="00A74C94"/>
    <w:rsid w:val="00A75CA5"/>
    <w:rsid w:val="00A80593"/>
    <w:rsid w:val="00AA5B77"/>
    <w:rsid w:val="00AB1FD6"/>
    <w:rsid w:val="00AD118B"/>
    <w:rsid w:val="00AE4AA7"/>
    <w:rsid w:val="00B24BBA"/>
    <w:rsid w:val="00B25EB8"/>
    <w:rsid w:val="00B3572C"/>
    <w:rsid w:val="00B36B60"/>
    <w:rsid w:val="00B4147B"/>
    <w:rsid w:val="00B7550E"/>
    <w:rsid w:val="00B93505"/>
    <w:rsid w:val="00BB4141"/>
    <w:rsid w:val="00BF1459"/>
    <w:rsid w:val="00BF491E"/>
    <w:rsid w:val="00C21FC8"/>
    <w:rsid w:val="00C33F9B"/>
    <w:rsid w:val="00C67754"/>
    <w:rsid w:val="00C77E59"/>
    <w:rsid w:val="00CA6AD5"/>
    <w:rsid w:val="00CC2A54"/>
    <w:rsid w:val="00CD1089"/>
    <w:rsid w:val="00CE4ABF"/>
    <w:rsid w:val="00D3608F"/>
    <w:rsid w:val="00D55911"/>
    <w:rsid w:val="00D74733"/>
    <w:rsid w:val="00D853D2"/>
    <w:rsid w:val="00DC0A8A"/>
    <w:rsid w:val="00DE631A"/>
    <w:rsid w:val="00DF180D"/>
    <w:rsid w:val="00DF1EC9"/>
    <w:rsid w:val="00E135CD"/>
    <w:rsid w:val="00E1442E"/>
    <w:rsid w:val="00E408E3"/>
    <w:rsid w:val="00E84320"/>
    <w:rsid w:val="00EA25DF"/>
    <w:rsid w:val="00EA57FD"/>
    <w:rsid w:val="00EB0289"/>
    <w:rsid w:val="00EB03FA"/>
    <w:rsid w:val="00EB246C"/>
    <w:rsid w:val="00EE0914"/>
    <w:rsid w:val="00EF789A"/>
    <w:rsid w:val="00F07227"/>
    <w:rsid w:val="00F16DCF"/>
    <w:rsid w:val="00F62DF0"/>
    <w:rsid w:val="00F737E2"/>
    <w:rsid w:val="00FE3447"/>
    <w:rsid w:val="00FF3B9C"/>
  </w:rsids>
  <m:mathPr>
    <m:mathFont m:val="Cambria Math"/>
    <m:brkBin m:val="before"/>
    <m:brkBinSub m:val="--"/>
    <m:smallFrac m:val="0"/>
    <m:dispDef/>
    <m:lMargin m:val="0"/>
    <m:rMargin m:val="0"/>
    <m:defJc m:val="centerGroup"/>
    <m:wrapIndent m:val="1440"/>
    <m:intLim m:val="subSup"/>
    <m:naryLim m:val="undOvr"/>
  </m:mathPr>
  <w:themeFontLang w:val="fr-FR"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6D5D64"/>
  <w15:chartTrackingRefBased/>
  <w15:docId w15:val="{656C87EF-8D66-4DC7-821B-78B276114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293B2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293B27"/>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unhideWhenUsed/>
    <w:qFormat/>
    <w:rsid w:val="00E408E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unhideWhenUsed/>
    <w:qFormat/>
    <w:rsid w:val="00DC0A8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93B27"/>
    <w:pPr>
      <w:tabs>
        <w:tab w:val="center" w:pos="4536"/>
        <w:tab w:val="right" w:pos="9072"/>
      </w:tabs>
      <w:spacing w:after="0" w:line="240" w:lineRule="auto"/>
    </w:pPr>
  </w:style>
  <w:style w:type="character" w:customStyle="1" w:styleId="En-tteCar">
    <w:name w:val="En-tête Car"/>
    <w:basedOn w:val="Policepardfaut"/>
    <w:link w:val="En-tte"/>
    <w:uiPriority w:val="99"/>
    <w:rsid w:val="00293B27"/>
  </w:style>
  <w:style w:type="paragraph" w:styleId="Pieddepage">
    <w:name w:val="footer"/>
    <w:basedOn w:val="Normal"/>
    <w:link w:val="PieddepageCar"/>
    <w:uiPriority w:val="99"/>
    <w:unhideWhenUsed/>
    <w:rsid w:val="00293B2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93B27"/>
  </w:style>
  <w:style w:type="character" w:styleId="Lienhypertexte">
    <w:name w:val="Hyperlink"/>
    <w:basedOn w:val="Policepardfaut"/>
    <w:uiPriority w:val="99"/>
    <w:unhideWhenUsed/>
    <w:rsid w:val="00293B27"/>
    <w:rPr>
      <w:color w:val="0563C1" w:themeColor="hyperlink"/>
      <w:u w:val="single"/>
    </w:rPr>
  </w:style>
  <w:style w:type="character" w:styleId="Mentionnonrsolue">
    <w:name w:val="Unresolved Mention"/>
    <w:basedOn w:val="Policepardfaut"/>
    <w:uiPriority w:val="99"/>
    <w:semiHidden/>
    <w:unhideWhenUsed/>
    <w:rsid w:val="00293B27"/>
    <w:rPr>
      <w:color w:val="605E5C"/>
      <w:shd w:val="clear" w:color="auto" w:fill="E1DFDD"/>
    </w:rPr>
  </w:style>
  <w:style w:type="character" w:customStyle="1" w:styleId="Titre1Car">
    <w:name w:val="Titre 1 Car"/>
    <w:basedOn w:val="Policepardfaut"/>
    <w:link w:val="Titre1"/>
    <w:uiPriority w:val="9"/>
    <w:rsid w:val="00293B27"/>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293B27"/>
    <w:rPr>
      <w:rFonts w:ascii="Times New Roman" w:eastAsia="Times New Roman" w:hAnsi="Times New Roman" w:cs="Times New Roman"/>
      <w:b/>
      <w:bCs/>
      <w:sz w:val="36"/>
      <w:szCs w:val="36"/>
      <w:lang w:eastAsia="fr-FR"/>
    </w:rPr>
  </w:style>
  <w:style w:type="paragraph" w:styleId="NormalWeb">
    <w:name w:val="Normal (Web)"/>
    <w:basedOn w:val="Normal"/>
    <w:uiPriority w:val="99"/>
    <w:unhideWhenUsed/>
    <w:rsid w:val="00293B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rincipe">
    <w:name w:val="principe"/>
    <w:basedOn w:val="Normal"/>
    <w:rsid w:val="00293B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ar">
    <w:name w:val="par"/>
    <w:basedOn w:val="Normal"/>
    <w:rsid w:val="00293B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ara">
    <w:name w:val="para"/>
    <w:basedOn w:val="Normal"/>
    <w:rsid w:val="00293B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ignature1">
    <w:name w:val="Signature1"/>
    <w:basedOn w:val="Normal"/>
    <w:rsid w:val="00293B2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3Car">
    <w:name w:val="Titre 3 Car"/>
    <w:basedOn w:val="Policepardfaut"/>
    <w:link w:val="Titre3"/>
    <w:uiPriority w:val="9"/>
    <w:rsid w:val="00E408E3"/>
    <w:rPr>
      <w:rFonts w:asciiTheme="majorHAnsi" w:eastAsiaTheme="majorEastAsia" w:hAnsiTheme="majorHAnsi" w:cstheme="majorBidi"/>
      <w:color w:val="1F3763" w:themeColor="accent1" w:themeShade="7F"/>
      <w:sz w:val="24"/>
      <w:szCs w:val="24"/>
    </w:rPr>
  </w:style>
  <w:style w:type="character" w:styleId="Lienhypertextesuivivisit">
    <w:name w:val="FollowedHyperlink"/>
    <w:basedOn w:val="Policepardfaut"/>
    <w:uiPriority w:val="99"/>
    <w:semiHidden/>
    <w:unhideWhenUsed/>
    <w:rsid w:val="008F3DF4"/>
    <w:rPr>
      <w:color w:val="954F72" w:themeColor="followedHyperlink"/>
      <w:u w:val="single"/>
    </w:rPr>
  </w:style>
  <w:style w:type="character" w:customStyle="1" w:styleId="Titre4Car">
    <w:name w:val="Titre 4 Car"/>
    <w:basedOn w:val="Policepardfaut"/>
    <w:link w:val="Titre4"/>
    <w:uiPriority w:val="9"/>
    <w:rsid w:val="00DC0A8A"/>
    <w:rPr>
      <w:rFonts w:asciiTheme="majorHAnsi" w:eastAsiaTheme="majorEastAsia" w:hAnsiTheme="majorHAnsi" w:cstheme="majorBidi"/>
      <w:i/>
      <w:iCs/>
      <w:color w:val="2F5496" w:themeColor="accent1" w:themeShade="BF"/>
    </w:rPr>
  </w:style>
  <w:style w:type="paragraph" w:customStyle="1" w:styleId="msonormal0">
    <w:name w:val="msonormal"/>
    <w:basedOn w:val="Normal"/>
    <w:rsid w:val="00B7550E"/>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020901">
      <w:bodyDiv w:val="1"/>
      <w:marLeft w:val="0"/>
      <w:marRight w:val="0"/>
      <w:marTop w:val="0"/>
      <w:marBottom w:val="0"/>
      <w:divBdr>
        <w:top w:val="none" w:sz="0" w:space="0" w:color="auto"/>
        <w:left w:val="none" w:sz="0" w:space="0" w:color="auto"/>
        <w:bottom w:val="none" w:sz="0" w:space="0" w:color="auto"/>
        <w:right w:val="none" w:sz="0" w:space="0" w:color="auto"/>
      </w:divBdr>
    </w:div>
    <w:div w:id="149173651">
      <w:bodyDiv w:val="1"/>
      <w:marLeft w:val="0"/>
      <w:marRight w:val="0"/>
      <w:marTop w:val="0"/>
      <w:marBottom w:val="0"/>
      <w:divBdr>
        <w:top w:val="none" w:sz="0" w:space="0" w:color="auto"/>
        <w:left w:val="none" w:sz="0" w:space="0" w:color="auto"/>
        <w:bottom w:val="none" w:sz="0" w:space="0" w:color="auto"/>
        <w:right w:val="none" w:sz="0" w:space="0" w:color="auto"/>
      </w:divBdr>
    </w:div>
    <w:div w:id="237250103">
      <w:bodyDiv w:val="1"/>
      <w:marLeft w:val="0"/>
      <w:marRight w:val="0"/>
      <w:marTop w:val="0"/>
      <w:marBottom w:val="0"/>
      <w:divBdr>
        <w:top w:val="none" w:sz="0" w:space="0" w:color="auto"/>
        <w:left w:val="none" w:sz="0" w:space="0" w:color="auto"/>
        <w:bottom w:val="none" w:sz="0" w:space="0" w:color="auto"/>
        <w:right w:val="none" w:sz="0" w:space="0" w:color="auto"/>
      </w:divBdr>
      <w:divsChild>
        <w:div w:id="406457838">
          <w:marLeft w:val="0"/>
          <w:marRight w:val="0"/>
          <w:marTop w:val="240"/>
          <w:marBottom w:val="0"/>
          <w:divBdr>
            <w:top w:val="none" w:sz="0" w:space="0" w:color="auto"/>
            <w:left w:val="none" w:sz="0" w:space="0" w:color="auto"/>
            <w:bottom w:val="none" w:sz="0" w:space="0" w:color="auto"/>
            <w:right w:val="none" w:sz="0" w:space="0" w:color="auto"/>
          </w:divBdr>
        </w:div>
        <w:div w:id="385447050">
          <w:marLeft w:val="0"/>
          <w:marRight w:val="0"/>
          <w:marTop w:val="0"/>
          <w:marBottom w:val="0"/>
          <w:divBdr>
            <w:top w:val="single" w:sz="6" w:space="0" w:color="0000FF"/>
            <w:left w:val="single" w:sz="6" w:space="0" w:color="0000FF"/>
            <w:bottom w:val="single" w:sz="6" w:space="0" w:color="0000FF"/>
            <w:right w:val="single" w:sz="6" w:space="0" w:color="0000FF"/>
          </w:divBdr>
        </w:div>
      </w:divsChild>
    </w:div>
    <w:div w:id="268050857">
      <w:bodyDiv w:val="1"/>
      <w:marLeft w:val="0"/>
      <w:marRight w:val="0"/>
      <w:marTop w:val="0"/>
      <w:marBottom w:val="0"/>
      <w:divBdr>
        <w:top w:val="none" w:sz="0" w:space="0" w:color="auto"/>
        <w:left w:val="none" w:sz="0" w:space="0" w:color="auto"/>
        <w:bottom w:val="none" w:sz="0" w:space="0" w:color="auto"/>
        <w:right w:val="none" w:sz="0" w:space="0" w:color="auto"/>
      </w:divBdr>
      <w:divsChild>
        <w:div w:id="1961567465">
          <w:marLeft w:val="0"/>
          <w:marRight w:val="0"/>
          <w:marTop w:val="240"/>
          <w:marBottom w:val="0"/>
          <w:divBdr>
            <w:top w:val="none" w:sz="0" w:space="0" w:color="auto"/>
            <w:left w:val="none" w:sz="0" w:space="0" w:color="auto"/>
            <w:bottom w:val="none" w:sz="0" w:space="0" w:color="auto"/>
            <w:right w:val="none" w:sz="0" w:space="0" w:color="auto"/>
          </w:divBdr>
        </w:div>
        <w:div w:id="2040547712">
          <w:marLeft w:val="0"/>
          <w:marRight w:val="0"/>
          <w:marTop w:val="0"/>
          <w:marBottom w:val="0"/>
          <w:divBdr>
            <w:top w:val="single" w:sz="6" w:space="0" w:color="0000FF"/>
            <w:left w:val="single" w:sz="6" w:space="0" w:color="0000FF"/>
            <w:bottom w:val="single" w:sz="6" w:space="0" w:color="0000FF"/>
            <w:right w:val="single" w:sz="6" w:space="0" w:color="0000FF"/>
          </w:divBdr>
        </w:div>
      </w:divsChild>
    </w:div>
    <w:div w:id="309755500">
      <w:bodyDiv w:val="1"/>
      <w:marLeft w:val="0"/>
      <w:marRight w:val="0"/>
      <w:marTop w:val="0"/>
      <w:marBottom w:val="0"/>
      <w:divBdr>
        <w:top w:val="none" w:sz="0" w:space="0" w:color="auto"/>
        <w:left w:val="none" w:sz="0" w:space="0" w:color="auto"/>
        <w:bottom w:val="none" w:sz="0" w:space="0" w:color="auto"/>
        <w:right w:val="none" w:sz="0" w:space="0" w:color="auto"/>
      </w:divBdr>
      <w:divsChild>
        <w:div w:id="816414319">
          <w:marLeft w:val="0"/>
          <w:marRight w:val="0"/>
          <w:marTop w:val="240"/>
          <w:marBottom w:val="0"/>
          <w:divBdr>
            <w:top w:val="none" w:sz="0" w:space="0" w:color="auto"/>
            <w:left w:val="none" w:sz="0" w:space="0" w:color="auto"/>
            <w:bottom w:val="none" w:sz="0" w:space="0" w:color="auto"/>
            <w:right w:val="none" w:sz="0" w:space="0" w:color="auto"/>
          </w:divBdr>
        </w:div>
        <w:div w:id="1703630461">
          <w:marLeft w:val="0"/>
          <w:marRight w:val="0"/>
          <w:marTop w:val="0"/>
          <w:marBottom w:val="0"/>
          <w:divBdr>
            <w:top w:val="single" w:sz="6" w:space="0" w:color="0000FF"/>
            <w:left w:val="single" w:sz="6" w:space="0" w:color="0000FF"/>
            <w:bottom w:val="single" w:sz="6" w:space="0" w:color="0000FF"/>
            <w:right w:val="single" w:sz="6" w:space="0" w:color="0000FF"/>
          </w:divBdr>
        </w:div>
      </w:divsChild>
    </w:div>
    <w:div w:id="355740991">
      <w:bodyDiv w:val="1"/>
      <w:marLeft w:val="0"/>
      <w:marRight w:val="0"/>
      <w:marTop w:val="0"/>
      <w:marBottom w:val="0"/>
      <w:divBdr>
        <w:top w:val="none" w:sz="0" w:space="0" w:color="auto"/>
        <w:left w:val="none" w:sz="0" w:space="0" w:color="auto"/>
        <w:bottom w:val="none" w:sz="0" w:space="0" w:color="auto"/>
        <w:right w:val="none" w:sz="0" w:space="0" w:color="auto"/>
      </w:divBdr>
      <w:divsChild>
        <w:div w:id="343290056">
          <w:marLeft w:val="0"/>
          <w:marRight w:val="0"/>
          <w:marTop w:val="240"/>
          <w:marBottom w:val="0"/>
          <w:divBdr>
            <w:top w:val="none" w:sz="0" w:space="0" w:color="auto"/>
            <w:left w:val="none" w:sz="0" w:space="0" w:color="auto"/>
            <w:bottom w:val="none" w:sz="0" w:space="0" w:color="auto"/>
            <w:right w:val="none" w:sz="0" w:space="0" w:color="auto"/>
          </w:divBdr>
        </w:div>
        <w:div w:id="1385376435">
          <w:marLeft w:val="0"/>
          <w:marRight w:val="0"/>
          <w:marTop w:val="0"/>
          <w:marBottom w:val="0"/>
          <w:divBdr>
            <w:top w:val="single" w:sz="6" w:space="0" w:color="0000FF"/>
            <w:left w:val="single" w:sz="6" w:space="0" w:color="0000FF"/>
            <w:bottom w:val="single" w:sz="6" w:space="0" w:color="0000FF"/>
            <w:right w:val="single" w:sz="6" w:space="0" w:color="0000FF"/>
          </w:divBdr>
        </w:div>
      </w:divsChild>
    </w:div>
    <w:div w:id="447629260">
      <w:bodyDiv w:val="1"/>
      <w:marLeft w:val="0"/>
      <w:marRight w:val="0"/>
      <w:marTop w:val="0"/>
      <w:marBottom w:val="0"/>
      <w:divBdr>
        <w:top w:val="none" w:sz="0" w:space="0" w:color="auto"/>
        <w:left w:val="none" w:sz="0" w:space="0" w:color="auto"/>
        <w:bottom w:val="none" w:sz="0" w:space="0" w:color="auto"/>
        <w:right w:val="none" w:sz="0" w:space="0" w:color="auto"/>
      </w:divBdr>
      <w:divsChild>
        <w:div w:id="111172801">
          <w:marLeft w:val="0"/>
          <w:marRight w:val="0"/>
          <w:marTop w:val="0"/>
          <w:marBottom w:val="0"/>
          <w:divBdr>
            <w:top w:val="single" w:sz="6" w:space="0" w:color="FFD700"/>
            <w:left w:val="single" w:sz="6" w:space="0" w:color="FFD700"/>
            <w:bottom w:val="single" w:sz="6" w:space="0" w:color="FFD700"/>
            <w:right w:val="single" w:sz="6" w:space="0" w:color="FFD700"/>
          </w:divBdr>
          <w:divsChild>
            <w:div w:id="1871604245">
              <w:marLeft w:val="0"/>
              <w:marRight w:val="0"/>
              <w:marTop w:val="240"/>
              <w:marBottom w:val="0"/>
              <w:divBdr>
                <w:top w:val="none" w:sz="0" w:space="0" w:color="auto"/>
                <w:left w:val="none" w:sz="0" w:space="0" w:color="auto"/>
                <w:bottom w:val="none" w:sz="0" w:space="0" w:color="auto"/>
                <w:right w:val="none" w:sz="0" w:space="0" w:color="auto"/>
              </w:divBdr>
            </w:div>
            <w:div w:id="1081875829">
              <w:marLeft w:val="0"/>
              <w:marRight w:val="0"/>
              <w:marTop w:val="0"/>
              <w:marBottom w:val="0"/>
              <w:divBdr>
                <w:top w:val="single" w:sz="6" w:space="0" w:color="0000FF"/>
                <w:left w:val="single" w:sz="6" w:space="0" w:color="0000FF"/>
                <w:bottom w:val="single" w:sz="6" w:space="0" w:color="0000FF"/>
                <w:right w:val="single" w:sz="6" w:space="0" w:color="0000FF"/>
              </w:divBdr>
            </w:div>
          </w:divsChild>
        </w:div>
        <w:div w:id="278146258">
          <w:marLeft w:val="192"/>
          <w:marRight w:val="12480"/>
          <w:marTop w:val="0"/>
          <w:marBottom w:val="0"/>
          <w:divBdr>
            <w:top w:val="single" w:sz="6" w:space="0" w:color="FFD700"/>
            <w:left w:val="single" w:sz="6" w:space="0" w:color="FFD700"/>
            <w:bottom w:val="single" w:sz="6" w:space="0" w:color="FFD700"/>
            <w:right w:val="single" w:sz="6" w:space="0" w:color="FFD700"/>
          </w:divBdr>
          <w:divsChild>
            <w:div w:id="87117017">
              <w:marLeft w:val="0"/>
              <w:marRight w:val="0"/>
              <w:marTop w:val="240"/>
              <w:marBottom w:val="0"/>
              <w:divBdr>
                <w:top w:val="none" w:sz="0" w:space="0" w:color="auto"/>
                <w:left w:val="none" w:sz="0" w:space="0" w:color="auto"/>
                <w:bottom w:val="none" w:sz="0" w:space="0" w:color="auto"/>
                <w:right w:val="none" w:sz="0" w:space="0" w:color="auto"/>
              </w:divBdr>
            </w:div>
            <w:div w:id="364602404">
              <w:marLeft w:val="0"/>
              <w:marRight w:val="0"/>
              <w:marTop w:val="0"/>
              <w:marBottom w:val="0"/>
              <w:divBdr>
                <w:top w:val="single" w:sz="6" w:space="0" w:color="0000FF"/>
                <w:left w:val="single" w:sz="6" w:space="0" w:color="0000FF"/>
                <w:bottom w:val="single" w:sz="6" w:space="0" w:color="0000FF"/>
                <w:right w:val="single" w:sz="6" w:space="0" w:color="0000FF"/>
              </w:divBdr>
            </w:div>
            <w:div w:id="1352872409">
              <w:marLeft w:val="0"/>
              <w:marRight w:val="0"/>
              <w:marTop w:val="240"/>
              <w:marBottom w:val="0"/>
              <w:divBdr>
                <w:top w:val="none" w:sz="0" w:space="0" w:color="auto"/>
                <w:left w:val="none" w:sz="0" w:space="0" w:color="auto"/>
                <w:bottom w:val="none" w:sz="0" w:space="0" w:color="auto"/>
                <w:right w:val="none" w:sz="0" w:space="0" w:color="auto"/>
              </w:divBdr>
            </w:div>
            <w:div w:id="1577475783">
              <w:marLeft w:val="0"/>
              <w:marRight w:val="0"/>
              <w:marTop w:val="0"/>
              <w:marBottom w:val="0"/>
              <w:divBdr>
                <w:top w:val="single" w:sz="6" w:space="0" w:color="0000FF"/>
                <w:left w:val="single" w:sz="6" w:space="0" w:color="0000FF"/>
                <w:bottom w:val="single" w:sz="6" w:space="0" w:color="0000FF"/>
                <w:right w:val="single" w:sz="6" w:space="0" w:color="0000FF"/>
              </w:divBdr>
            </w:div>
            <w:div w:id="631711312">
              <w:marLeft w:val="0"/>
              <w:marRight w:val="0"/>
              <w:marTop w:val="240"/>
              <w:marBottom w:val="0"/>
              <w:divBdr>
                <w:top w:val="none" w:sz="0" w:space="0" w:color="auto"/>
                <w:left w:val="none" w:sz="0" w:space="0" w:color="auto"/>
                <w:bottom w:val="none" w:sz="0" w:space="0" w:color="auto"/>
                <w:right w:val="none" w:sz="0" w:space="0" w:color="auto"/>
              </w:divBdr>
            </w:div>
            <w:div w:id="1130439128">
              <w:marLeft w:val="0"/>
              <w:marRight w:val="0"/>
              <w:marTop w:val="0"/>
              <w:marBottom w:val="0"/>
              <w:divBdr>
                <w:top w:val="single" w:sz="6" w:space="0" w:color="0000FF"/>
                <w:left w:val="single" w:sz="6" w:space="0" w:color="0000FF"/>
                <w:bottom w:val="single" w:sz="6" w:space="0" w:color="0000FF"/>
                <w:right w:val="single" w:sz="6" w:space="0" w:color="0000FF"/>
              </w:divBdr>
            </w:div>
            <w:div w:id="1920017151">
              <w:marLeft w:val="0"/>
              <w:marRight w:val="0"/>
              <w:marTop w:val="240"/>
              <w:marBottom w:val="0"/>
              <w:divBdr>
                <w:top w:val="none" w:sz="0" w:space="0" w:color="auto"/>
                <w:left w:val="none" w:sz="0" w:space="0" w:color="auto"/>
                <w:bottom w:val="none" w:sz="0" w:space="0" w:color="auto"/>
                <w:right w:val="none" w:sz="0" w:space="0" w:color="auto"/>
              </w:divBdr>
            </w:div>
            <w:div w:id="1729306525">
              <w:marLeft w:val="0"/>
              <w:marRight w:val="0"/>
              <w:marTop w:val="0"/>
              <w:marBottom w:val="0"/>
              <w:divBdr>
                <w:top w:val="single" w:sz="6" w:space="0" w:color="0000FF"/>
                <w:left w:val="single" w:sz="6" w:space="0" w:color="0000FF"/>
                <w:bottom w:val="single" w:sz="6" w:space="0" w:color="0000FF"/>
                <w:right w:val="single" w:sz="6" w:space="0" w:color="0000FF"/>
              </w:divBdr>
            </w:div>
            <w:div w:id="1509245544">
              <w:marLeft w:val="0"/>
              <w:marRight w:val="0"/>
              <w:marTop w:val="240"/>
              <w:marBottom w:val="0"/>
              <w:divBdr>
                <w:top w:val="none" w:sz="0" w:space="0" w:color="auto"/>
                <w:left w:val="none" w:sz="0" w:space="0" w:color="auto"/>
                <w:bottom w:val="none" w:sz="0" w:space="0" w:color="auto"/>
                <w:right w:val="none" w:sz="0" w:space="0" w:color="auto"/>
              </w:divBdr>
            </w:div>
            <w:div w:id="1269775771">
              <w:marLeft w:val="0"/>
              <w:marRight w:val="0"/>
              <w:marTop w:val="0"/>
              <w:marBottom w:val="0"/>
              <w:divBdr>
                <w:top w:val="single" w:sz="6" w:space="0" w:color="0000FF"/>
                <w:left w:val="single" w:sz="6" w:space="0" w:color="0000FF"/>
                <w:bottom w:val="single" w:sz="6" w:space="0" w:color="0000FF"/>
                <w:right w:val="single" w:sz="6" w:space="0" w:color="0000FF"/>
              </w:divBdr>
            </w:div>
          </w:divsChild>
        </w:div>
      </w:divsChild>
    </w:div>
    <w:div w:id="521629564">
      <w:bodyDiv w:val="1"/>
      <w:marLeft w:val="0"/>
      <w:marRight w:val="0"/>
      <w:marTop w:val="0"/>
      <w:marBottom w:val="0"/>
      <w:divBdr>
        <w:top w:val="none" w:sz="0" w:space="0" w:color="auto"/>
        <w:left w:val="none" w:sz="0" w:space="0" w:color="auto"/>
        <w:bottom w:val="none" w:sz="0" w:space="0" w:color="auto"/>
        <w:right w:val="none" w:sz="0" w:space="0" w:color="auto"/>
      </w:divBdr>
      <w:divsChild>
        <w:div w:id="30349995">
          <w:marLeft w:val="0"/>
          <w:marRight w:val="0"/>
          <w:marTop w:val="240"/>
          <w:marBottom w:val="0"/>
          <w:divBdr>
            <w:top w:val="none" w:sz="0" w:space="0" w:color="auto"/>
            <w:left w:val="none" w:sz="0" w:space="0" w:color="auto"/>
            <w:bottom w:val="none" w:sz="0" w:space="0" w:color="auto"/>
            <w:right w:val="none" w:sz="0" w:space="0" w:color="auto"/>
          </w:divBdr>
        </w:div>
        <w:div w:id="287978887">
          <w:marLeft w:val="0"/>
          <w:marRight w:val="0"/>
          <w:marTop w:val="0"/>
          <w:marBottom w:val="0"/>
          <w:divBdr>
            <w:top w:val="single" w:sz="6" w:space="0" w:color="0000FF"/>
            <w:left w:val="single" w:sz="6" w:space="0" w:color="0000FF"/>
            <w:bottom w:val="single" w:sz="6" w:space="0" w:color="0000FF"/>
            <w:right w:val="single" w:sz="6" w:space="0" w:color="0000FF"/>
          </w:divBdr>
        </w:div>
      </w:divsChild>
    </w:div>
    <w:div w:id="637303627">
      <w:bodyDiv w:val="1"/>
      <w:marLeft w:val="0"/>
      <w:marRight w:val="0"/>
      <w:marTop w:val="0"/>
      <w:marBottom w:val="0"/>
      <w:divBdr>
        <w:top w:val="none" w:sz="0" w:space="0" w:color="auto"/>
        <w:left w:val="none" w:sz="0" w:space="0" w:color="auto"/>
        <w:bottom w:val="none" w:sz="0" w:space="0" w:color="auto"/>
        <w:right w:val="none" w:sz="0" w:space="0" w:color="auto"/>
      </w:divBdr>
      <w:divsChild>
        <w:div w:id="1462770241">
          <w:marLeft w:val="0"/>
          <w:marRight w:val="0"/>
          <w:marTop w:val="240"/>
          <w:marBottom w:val="0"/>
          <w:divBdr>
            <w:top w:val="none" w:sz="0" w:space="0" w:color="auto"/>
            <w:left w:val="none" w:sz="0" w:space="0" w:color="auto"/>
            <w:bottom w:val="none" w:sz="0" w:space="0" w:color="auto"/>
            <w:right w:val="none" w:sz="0" w:space="0" w:color="auto"/>
          </w:divBdr>
        </w:div>
        <w:div w:id="548880777">
          <w:marLeft w:val="0"/>
          <w:marRight w:val="0"/>
          <w:marTop w:val="0"/>
          <w:marBottom w:val="0"/>
          <w:divBdr>
            <w:top w:val="single" w:sz="6" w:space="0" w:color="0000FF"/>
            <w:left w:val="single" w:sz="6" w:space="0" w:color="0000FF"/>
            <w:bottom w:val="single" w:sz="6" w:space="0" w:color="0000FF"/>
            <w:right w:val="single" w:sz="6" w:space="0" w:color="0000FF"/>
          </w:divBdr>
        </w:div>
      </w:divsChild>
    </w:div>
    <w:div w:id="648437711">
      <w:bodyDiv w:val="1"/>
      <w:marLeft w:val="0"/>
      <w:marRight w:val="0"/>
      <w:marTop w:val="0"/>
      <w:marBottom w:val="0"/>
      <w:divBdr>
        <w:top w:val="none" w:sz="0" w:space="0" w:color="auto"/>
        <w:left w:val="none" w:sz="0" w:space="0" w:color="auto"/>
        <w:bottom w:val="none" w:sz="0" w:space="0" w:color="auto"/>
        <w:right w:val="none" w:sz="0" w:space="0" w:color="auto"/>
      </w:divBdr>
      <w:divsChild>
        <w:div w:id="1446071740">
          <w:marLeft w:val="0"/>
          <w:marRight w:val="0"/>
          <w:marTop w:val="240"/>
          <w:marBottom w:val="0"/>
          <w:divBdr>
            <w:top w:val="none" w:sz="0" w:space="0" w:color="auto"/>
            <w:left w:val="none" w:sz="0" w:space="0" w:color="auto"/>
            <w:bottom w:val="none" w:sz="0" w:space="0" w:color="auto"/>
            <w:right w:val="none" w:sz="0" w:space="0" w:color="auto"/>
          </w:divBdr>
        </w:div>
        <w:div w:id="51927528">
          <w:marLeft w:val="0"/>
          <w:marRight w:val="0"/>
          <w:marTop w:val="0"/>
          <w:marBottom w:val="0"/>
          <w:divBdr>
            <w:top w:val="single" w:sz="6" w:space="0" w:color="0000FF"/>
            <w:left w:val="single" w:sz="6" w:space="0" w:color="0000FF"/>
            <w:bottom w:val="single" w:sz="6" w:space="0" w:color="0000FF"/>
            <w:right w:val="single" w:sz="6" w:space="0" w:color="0000FF"/>
          </w:divBdr>
        </w:div>
      </w:divsChild>
    </w:div>
    <w:div w:id="813180133">
      <w:bodyDiv w:val="1"/>
      <w:marLeft w:val="0"/>
      <w:marRight w:val="0"/>
      <w:marTop w:val="0"/>
      <w:marBottom w:val="0"/>
      <w:divBdr>
        <w:top w:val="none" w:sz="0" w:space="0" w:color="auto"/>
        <w:left w:val="none" w:sz="0" w:space="0" w:color="auto"/>
        <w:bottom w:val="none" w:sz="0" w:space="0" w:color="auto"/>
        <w:right w:val="none" w:sz="0" w:space="0" w:color="auto"/>
      </w:divBdr>
      <w:divsChild>
        <w:div w:id="1265109350">
          <w:marLeft w:val="0"/>
          <w:marRight w:val="0"/>
          <w:marTop w:val="240"/>
          <w:marBottom w:val="0"/>
          <w:divBdr>
            <w:top w:val="none" w:sz="0" w:space="0" w:color="auto"/>
            <w:left w:val="none" w:sz="0" w:space="0" w:color="auto"/>
            <w:bottom w:val="none" w:sz="0" w:space="0" w:color="auto"/>
            <w:right w:val="none" w:sz="0" w:space="0" w:color="auto"/>
          </w:divBdr>
        </w:div>
        <w:div w:id="523592395">
          <w:marLeft w:val="0"/>
          <w:marRight w:val="0"/>
          <w:marTop w:val="0"/>
          <w:marBottom w:val="0"/>
          <w:divBdr>
            <w:top w:val="single" w:sz="6" w:space="0" w:color="0000FF"/>
            <w:left w:val="single" w:sz="6" w:space="0" w:color="0000FF"/>
            <w:bottom w:val="single" w:sz="6" w:space="0" w:color="0000FF"/>
            <w:right w:val="single" w:sz="6" w:space="0" w:color="0000FF"/>
          </w:divBdr>
        </w:div>
      </w:divsChild>
    </w:div>
    <w:div w:id="907374947">
      <w:bodyDiv w:val="1"/>
      <w:marLeft w:val="0"/>
      <w:marRight w:val="0"/>
      <w:marTop w:val="0"/>
      <w:marBottom w:val="0"/>
      <w:divBdr>
        <w:top w:val="none" w:sz="0" w:space="0" w:color="auto"/>
        <w:left w:val="none" w:sz="0" w:space="0" w:color="auto"/>
        <w:bottom w:val="none" w:sz="0" w:space="0" w:color="auto"/>
        <w:right w:val="none" w:sz="0" w:space="0" w:color="auto"/>
      </w:divBdr>
      <w:divsChild>
        <w:div w:id="338236471">
          <w:marLeft w:val="0"/>
          <w:marRight w:val="0"/>
          <w:marTop w:val="240"/>
          <w:marBottom w:val="0"/>
          <w:divBdr>
            <w:top w:val="none" w:sz="0" w:space="0" w:color="auto"/>
            <w:left w:val="none" w:sz="0" w:space="0" w:color="auto"/>
            <w:bottom w:val="none" w:sz="0" w:space="0" w:color="auto"/>
            <w:right w:val="none" w:sz="0" w:space="0" w:color="auto"/>
          </w:divBdr>
        </w:div>
        <w:div w:id="708995353">
          <w:marLeft w:val="0"/>
          <w:marRight w:val="0"/>
          <w:marTop w:val="0"/>
          <w:marBottom w:val="0"/>
          <w:divBdr>
            <w:top w:val="single" w:sz="6" w:space="0" w:color="0000FF"/>
            <w:left w:val="single" w:sz="6" w:space="0" w:color="0000FF"/>
            <w:bottom w:val="single" w:sz="6" w:space="0" w:color="0000FF"/>
            <w:right w:val="single" w:sz="6" w:space="0" w:color="0000FF"/>
          </w:divBdr>
        </w:div>
      </w:divsChild>
    </w:div>
    <w:div w:id="973176217">
      <w:bodyDiv w:val="1"/>
      <w:marLeft w:val="0"/>
      <w:marRight w:val="0"/>
      <w:marTop w:val="0"/>
      <w:marBottom w:val="0"/>
      <w:divBdr>
        <w:top w:val="none" w:sz="0" w:space="0" w:color="auto"/>
        <w:left w:val="none" w:sz="0" w:space="0" w:color="auto"/>
        <w:bottom w:val="none" w:sz="0" w:space="0" w:color="auto"/>
        <w:right w:val="none" w:sz="0" w:space="0" w:color="auto"/>
      </w:divBdr>
      <w:divsChild>
        <w:div w:id="726225012">
          <w:marLeft w:val="0"/>
          <w:marRight w:val="0"/>
          <w:marTop w:val="240"/>
          <w:marBottom w:val="0"/>
          <w:divBdr>
            <w:top w:val="none" w:sz="0" w:space="0" w:color="auto"/>
            <w:left w:val="none" w:sz="0" w:space="0" w:color="auto"/>
            <w:bottom w:val="none" w:sz="0" w:space="0" w:color="auto"/>
            <w:right w:val="none" w:sz="0" w:space="0" w:color="auto"/>
          </w:divBdr>
        </w:div>
        <w:div w:id="1064639076">
          <w:marLeft w:val="0"/>
          <w:marRight w:val="0"/>
          <w:marTop w:val="0"/>
          <w:marBottom w:val="0"/>
          <w:divBdr>
            <w:top w:val="single" w:sz="6" w:space="0" w:color="0000FF"/>
            <w:left w:val="single" w:sz="6" w:space="0" w:color="0000FF"/>
            <w:bottom w:val="single" w:sz="6" w:space="0" w:color="0000FF"/>
            <w:right w:val="single" w:sz="6" w:space="0" w:color="0000FF"/>
          </w:divBdr>
        </w:div>
      </w:divsChild>
    </w:div>
    <w:div w:id="1049259808">
      <w:bodyDiv w:val="1"/>
      <w:marLeft w:val="0"/>
      <w:marRight w:val="0"/>
      <w:marTop w:val="0"/>
      <w:marBottom w:val="0"/>
      <w:divBdr>
        <w:top w:val="none" w:sz="0" w:space="0" w:color="auto"/>
        <w:left w:val="none" w:sz="0" w:space="0" w:color="auto"/>
        <w:bottom w:val="none" w:sz="0" w:space="0" w:color="auto"/>
        <w:right w:val="none" w:sz="0" w:space="0" w:color="auto"/>
      </w:divBdr>
      <w:divsChild>
        <w:div w:id="1401368672">
          <w:marLeft w:val="0"/>
          <w:marRight w:val="0"/>
          <w:marTop w:val="240"/>
          <w:marBottom w:val="0"/>
          <w:divBdr>
            <w:top w:val="none" w:sz="0" w:space="0" w:color="auto"/>
            <w:left w:val="none" w:sz="0" w:space="0" w:color="auto"/>
            <w:bottom w:val="none" w:sz="0" w:space="0" w:color="auto"/>
            <w:right w:val="none" w:sz="0" w:space="0" w:color="auto"/>
          </w:divBdr>
        </w:div>
        <w:div w:id="224723722">
          <w:marLeft w:val="0"/>
          <w:marRight w:val="0"/>
          <w:marTop w:val="0"/>
          <w:marBottom w:val="0"/>
          <w:divBdr>
            <w:top w:val="single" w:sz="6" w:space="0" w:color="0000FF"/>
            <w:left w:val="single" w:sz="6" w:space="0" w:color="0000FF"/>
            <w:bottom w:val="single" w:sz="6" w:space="0" w:color="0000FF"/>
            <w:right w:val="single" w:sz="6" w:space="0" w:color="0000FF"/>
          </w:divBdr>
        </w:div>
      </w:divsChild>
    </w:div>
    <w:div w:id="1183743877">
      <w:bodyDiv w:val="1"/>
      <w:marLeft w:val="0"/>
      <w:marRight w:val="0"/>
      <w:marTop w:val="0"/>
      <w:marBottom w:val="0"/>
      <w:divBdr>
        <w:top w:val="none" w:sz="0" w:space="0" w:color="auto"/>
        <w:left w:val="none" w:sz="0" w:space="0" w:color="auto"/>
        <w:bottom w:val="none" w:sz="0" w:space="0" w:color="auto"/>
        <w:right w:val="none" w:sz="0" w:space="0" w:color="auto"/>
      </w:divBdr>
      <w:divsChild>
        <w:div w:id="252277110">
          <w:marLeft w:val="0"/>
          <w:marRight w:val="0"/>
          <w:marTop w:val="240"/>
          <w:marBottom w:val="0"/>
          <w:divBdr>
            <w:top w:val="none" w:sz="0" w:space="0" w:color="auto"/>
            <w:left w:val="none" w:sz="0" w:space="0" w:color="auto"/>
            <w:bottom w:val="none" w:sz="0" w:space="0" w:color="auto"/>
            <w:right w:val="none" w:sz="0" w:space="0" w:color="auto"/>
          </w:divBdr>
        </w:div>
        <w:div w:id="225261465">
          <w:marLeft w:val="0"/>
          <w:marRight w:val="0"/>
          <w:marTop w:val="0"/>
          <w:marBottom w:val="0"/>
          <w:divBdr>
            <w:top w:val="single" w:sz="6" w:space="0" w:color="0000FF"/>
            <w:left w:val="single" w:sz="6" w:space="0" w:color="0000FF"/>
            <w:bottom w:val="single" w:sz="6" w:space="0" w:color="0000FF"/>
            <w:right w:val="single" w:sz="6" w:space="0" w:color="0000FF"/>
          </w:divBdr>
        </w:div>
      </w:divsChild>
    </w:div>
    <w:div w:id="1213888789">
      <w:bodyDiv w:val="1"/>
      <w:marLeft w:val="0"/>
      <w:marRight w:val="0"/>
      <w:marTop w:val="0"/>
      <w:marBottom w:val="0"/>
      <w:divBdr>
        <w:top w:val="none" w:sz="0" w:space="0" w:color="auto"/>
        <w:left w:val="none" w:sz="0" w:space="0" w:color="auto"/>
        <w:bottom w:val="none" w:sz="0" w:space="0" w:color="auto"/>
        <w:right w:val="none" w:sz="0" w:space="0" w:color="auto"/>
      </w:divBdr>
      <w:divsChild>
        <w:div w:id="1462115545">
          <w:marLeft w:val="0"/>
          <w:marRight w:val="0"/>
          <w:marTop w:val="0"/>
          <w:marBottom w:val="0"/>
          <w:divBdr>
            <w:top w:val="single" w:sz="6" w:space="0" w:color="0000FF"/>
            <w:left w:val="single" w:sz="6" w:space="0" w:color="0000FF"/>
            <w:bottom w:val="single" w:sz="6" w:space="0" w:color="0000FF"/>
            <w:right w:val="single" w:sz="6" w:space="0" w:color="0000FF"/>
          </w:divBdr>
        </w:div>
      </w:divsChild>
    </w:div>
    <w:div w:id="1309365447">
      <w:bodyDiv w:val="1"/>
      <w:marLeft w:val="0"/>
      <w:marRight w:val="0"/>
      <w:marTop w:val="0"/>
      <w:marBottom w:val="0"/>
      <w:divBdr>
        <w:top w:val="none" w:sz="0" w:space="0" w:color="auto"/>
        <w:left w:val="none" w:sz="0" w:space="0" w:color="auto"/>
        <w:bottom w:val="none" w:sz="0" w:space="0" w:color="auto"/>
        <w:right w:val="none" w:sz="0" w:space="0" w:color="auto"/>
      </w:divBdr>
      <w:divsChild>
        <w:div w:id="1561405937">
          <w:marLeft w:val="0"/>
          <w:marRight w:val="0"/>
          <w:marTop w:val="240"/>
          <w:marBottom w:val="0"/>
          <w:divBdr>
            <w:top w:val="none" w:sz="0" w:space="0" w:color="auto"/>
            <w:left w:val="none" w:sz="0" w:space="0" w:color="auto"/>
            <w:bottom w:val="none" w:sz="0" w:space="0" w:color="auto"/>
            <w:right w:val="none" w:sz="0" w:space="0" w:color="auto"/>
          </w:divBdr>
        </w:div>
        <w:div w:id="1142691280">
          <w:marLeft w:val="0"/>
          <w:marRight w:val="0"/>
          <w:marTop w:val="0"/>
          <w:marBottom w:val="0"/>
          <w:divBdr>
            <w:top w:val="single" w:sz="6" w:space="0" w:color="0000FF"/>
            <w:left w:val="single" w:sz="6" w:space="0" w:color="0000FF"/>
            <w:bottom w:val="single" w:sz="6" w:space="0" w:color="0000FF"/>
            <w:right w:val="single" w:sz="6" w:space="0" w:color="0000FF"/>
          </w:divBdr>
        </w:div>
      </w:divsChild>
    </w:div>
    <w:div w:id="1567841904">
      <w:bodyDiv w:val="1"/>
      <w:marLeft w:val="0"/>
      <w:marRight w:val="0"/>
      <w:marTop w:val="0"/>
      <w:marBottom w:val="0"/>
      <w:divBdr>
        <w:top w:val="none" w:sz="0" w:space="0" w:color="auto"/>
        <w:left w:val="none" w:sz="0" w:space="0" w:color="auto"/>
        <w:bottom w:val="none" w:sz="0" w:space="0" w:color="auto"/>
        <w:right w:val="none" w:sz="0" w:space="0" w:color="auto"/>
      </w:divBdr>
      <w:divsChild>
        <w:div w:id="1537541212">
          <w:marLeft w:val="0"/>
          <w:marRight w:val="0"/>
          <w:marTop w:val="0"/>
          <w:marBottom w:val="0"/>
          <w:divBdr>
            <w:top w:val="single" w:sz="6" w:space="0" w:color="FFD700"/>
            <w:left w:val="single" w:sz="6" w:space="0" w:color="FFD700"/>
            <w:bottom w:val="single" w:sz="6" w:space="0" w:color="FFD700"/>
            <w:right w:val="single" w:sz="6" w:space="0" w:color="FFD700"/>
          </w:divBdr>
          <w:divsChild>
            <w:div w:id="2017030613">
              <w:marLeft w:val="0"/>
              <w:marRight w:val="0"/>
              <w:marTop w:val="240"/>
              <w:marBottom w:val="0"/>
              <w:divBdr>
                <w:top w:val="none" w:sz="0" w:space="0" w:color="auto"/>
                <w:left w:val="none" w:sz="0" w:space="0" w:color="auto"/>
                <w:bottom w:val="none" w:sz="0" w:space="0" w:color="auto"/>
                <w:right w:val="none" w:sz="0" w:space="0" w:color="auto"/>
              </w:divBdr>
            </w:div>
            <w:div w:id="2121682078">
              <w:marLeft w:val="0"/>
              <w:marRight w:val="0"/>
              <w:marTop w:val="0"/>
              <w:marBottom w:val="0"/>
              <w:divBdr>
                <w:top w:val="single" w:sz="6" w:space="0" w:color="0000FF"/>
                <w:left w:val="single" w:sz="6" w:space="0" w:color="0000FF"/>
                <w:bottom w:val="single" w:sz="6" w:space="0" w:color="0000FF"/>
                <w:right w:val="single" w:sz="6" w:space="0" w:color="0000FF"/>
              </w:divBdr>
            </w:div>
            <w:div w:id="1323847090">
              <w:marLeft w:val="0"/>
              <w:marRight w:val="0"/>
              <w:marTop w:val="0"/>
              <w:marBottom w:val="0"/>
              <w:divBdr>
                <w:top w:val="single" w:sz="6" w:space="0" w:color="0000FF"/>
                <w:left w:val="single" w:sz="6" w:space="0" w:color="0000FF"/>
                <w:bottom w:val="single" w:sz="6" w:space="0" w:color="0000FF"/>
                <w:right w:val="single" w:sz="6" w:space="0" w:color="0000FF"/>
              </w:divBdr>
            </w:div>
            <w:div w:id="1539126300">
              <w:marLeft w:val="0"/>
              <w:marRight w:val="0"/>
              <w:marTop w:val="0"/>
              <w:marBottom w:val="0"/>
              <w:divBdr>
                <w:top w:val="single" w:sz="6" w:space="0" w:color="0000FF"/>
                <w:left w:val="single" w:sz="6" w:space="0" w:color="0000FF"/>
                <w:bottom w:val="single" w:sz="6" w:space="0" w:color="0000FF"/>
                <w:right w:val="single" w:sz="6" w:space="0" w:color="0000FF"/>
              </w:divBdr>
            </w:div>
          </w:divsChild>
        </w:div>
        <w:div w:id="933436217">
          <w:marLeft w:val="192"/>
          <w:marRight w:val="12480"/>
          <w:marTop w:val="0"/>
          <w:marBottom w:val="0"/>
          <w:divBdr>
            <w:top w:val="single" w:sz="6" w:space="0" w:color="FFD700"/>
            <w:left w:val="single" w:sz="6" w:space="0" w:color="FFD700"/>
            <w:bottom w:val="single" w:sz="6" w:space="0" w:color="FFD700"/>
            <w:right w:val="single" w:sz="6" w:space="0" w:color="FFD700"/>
          </w:divBdr>
          <w:divsChild>
            <w:div w:id="1118261340">
              <w:marLeft w:val="0"/>
              <w:marRight w:val="0"/>
              <w:marTop w:val="240"/>
              <w:marBottom w:val="0"/>
              <w:divBdr>
                <w:top w:val="none" w:sz="0" w:space="0" w:color="auto"/>
                <w:left w:val="none" w:sz="0" w:space="0" w:color="auto"/>
                <w:bottom w:val="none" w:sz="0" w:space="0" w:color="auto"/>
                <w:right w:val="none" w:sz="0" w:space="0" w:color="auto"/>
              </w:divBdr>
            </w:div>
            <w:div w:id="711735438">
              <w:marLeft w:val="0"/>
              <w:marRight w:val="0"/>
              <w:marTop w:val="0"/>
              <w:marBottom w:val="0"/>
              <w:divBdr>
                <w:top w:val="single" w:sz="6" w:space="0" w:color="0000FF"/>
                <w:left w:val="single" w:sz="6" w:space="0" w:color="0000FF"/>
                <w:bottom w:val="single" w:sz="6" w:space="0" w:color="0000FF"/>
                <w:right w:val="single" w:sz="6" w:space="0" w:color="0000FF"/>
              </w:divBdr>
            </w:div>
            <w:div w:id="1165316888">
              <w:marLeft w:val="0"/>
              <w:marRight w:val="0"/>
              <w:marTop w:val="240"/>
              <w:marBottom w:val="0"/>
              <w:divBdr>
                <w:top w:val="none" w:sz="0" w:space="0" w:color="auto"/>
                <w:left w:val="none" w:sz="0" w:space="0" w:color="auto"/>
                <w:bottom w:val="none" w:sz="0" w:space="0" w:color="auto"/>
                <w:right w:val="none" w:sz="0" w:space="0" w:color="auto"/>
              </w:divBdr>
            </w:div>
            <w:div w:id="1403288743">
              <w:marLeft w:val="0"/>
              <w:marRight w:val="0"/>
              <w:marTop w:val="0"/>
              <w:marBottom w:val="0"/>
              <w:divBdr>
                <w:top w:val="single" w:sz="6" w:space="0" w:color="0000FF"/>
                <w:left w:val="single" w:sz="6" w:space="0" w:color="0000FF"/>
                <w:bottom w:val="single" w:sz="6" w:space="0" w:color="0000FF"/>
                <w:right w:val="single" w:sz="6" w:space="0" w:color="0000FF"/>
              </w:divBdr>
            </w:div>
            <w:div w:id="1259094586">
              <w:marLeft w:val="0"/>
              <w:marRight w:val="0"/>
              <w:marTop w:val="240"/>
              <w:marBottom w:val="0"/>
              <w:divBdr>
                <w:top w:val="none" w:sz="0" w:space="0" w:color="auto"/>
                <w:left w:val="none" w:sz="0" w:space="0" w:color="auto"/>
                <w:bottom w:val="none" w:sz="0" w:space="0" w:color="auto"/>
                <w:right w:val="none" w:sz="0" w:space="0" w:color="auto"/>
              </w:divBdr>
            </w:div>
            <w:div w:id="518661835">
              <w:marLeft w:val="0"/>
              <w:marRight w:val="0"/>
              <w:marTop w:val="0"/>
              <w:marBottom w:val="0"/>
              <w:divBdr>
                <w:top w:val="single" w:sz="6" w:space="0" w:color="0000FF"/>
                <w:left w:val="single" w:sz="6" w:space="0" w:color="0000FF"/>
                <w:bottom w:val="single" w:sz="6" w:space="0" w:color="0000FF"/>
                <w:right w:val="single" w:sz="6" w:space="0" w:color="0000FF"/>
              </w:divBdr>
            </w:div>
            <w:div w:id="1223643096">
              <w:marLeft w:val="0"/>
              <w:marRight w:val="0"/>
              <w:marTop w:val="240"/>
              <w:marBottom w:val="0"/>
              <w:divBdr>
                <w:top w:val="none" w:sz="0" w:space="0" w:color="auto"/>
                <w:left w:val="none" w:sz="0" w:space="0" w:color="auto"/>
                <w:bottom w:val="none" w:sz="0" w:space="0" w:color="auto"/>
                <w:right w:val="none" w:sz="0" w:space="0" w:color="auto"/>
              </w:divBdr>
            </w:div>
            <w:div w:id="927545496">
              <w:marLeft w:val="0"/>
              <w:marRight w:val="0"/>
              <w:marTop w:val="0"/>
              <w:marBottom w:val="0"/>
              <w:divBdr>
                <w:top w:val="single" w:sz="6" w:space="0" w:color="0000FF"/>
                <w:left w:val="single" w:sz="6" w:space="0" w:color="0000FF"/>
                <w:bottom w:val="single" w:sz="6" w:space="0" w:color="0000FF"/>
                <w:right w:val="single" w:sz="6" w:space="0" w:color="0000FF"/>
              </w:divBdr>
            </w:div>
            <w:div w:id="1104616775">
              <w:marLeft w:val="0"/>
              <w:marRight w:val="0"/>
              <w:marTop w:val="240"/>
              <w:marBottom w:val="0"/>
              <w:divBdr>
                <w:top w:val="none" w:sz="0" w:space="0" w:color="auto"/>
                <w:left w:val="none" w:sz="0" w:space="0" w:color="auto"/>
                <w:bottom w:val="none" w:sz="0" w:space="0" w:color="auto"/>
                <w:right w:val="none" w:sz="0" w:space="0" w:color="auto"/>
              </w:divBdr>
            </w:div>
            <w:div w:id="721906600">
              <w:marLeft w:val="0"/>
              <w:marRight w:val="0"/>
              <w:marTop w:val="0"/>
              <w:marBottom w:val="0"/>
              <w:divBdr>
                <w:top w:val="single" w:sz="6" w:space="0" w:color="0000FF"/>
                <w:left w:val="single" w:sz="6" w:space="0" w:color="0000FF"/>
                <w:bottom w:val="single" w:sz="6" w:space="0" w:color="0000FF"/>
                <w:right w:val="single" w:sz="6" w:space="0" w:color="0000FF"/>
              </w:divBdr>
            </w:div>
          </w:divsChild>
        </w:div>
      </w:divsChild>
    </w:div>
    <w:div w:id="1812013227">
      <w:bodyDiv w:val="1"/>
      <w:marLeft w:val="0"/>
      <w:marRight w:val="0"/>
      <w:marTop w:val="0"/>
      <w:marBottom w:val="0"/>
      <w:divBdr>
        <w:top w:val="none" w:sz="0" w:space="0" w:color="auto"/>
        <w:left w:val="none" w:sz="0" w:space="0" w:color="auto"/>
        <w:bottom w:val="none" w:sz="0" w:space="0" w:color="auto"/>
        <w:right w:val="none" w:sz="0" w:space="0" w:color="auto"/>
      </w:divBdr>
    </w:div>
    <w:div w:id="1877808863">
      <w:bodyDiv w:val="1"/>
      <w:marLeft w:val="0"/>
      <w:marRight w:val="0"/>
      <w:marTop w:val="0"/>
      <w:marBottom w:val="0"/>
      <w:divBdr>
        <w:top w:val="none" w:sz="0" w:space="0" w:color="auto"/>
        <w:left w:val="none" w:sz="0" w:space="0" w:color="auto"/>
        <w:bottom w:val="none" w:sz="0" w:space="0" w:color="auto"/>
        <w:right w:val="none" w:sz="0" w:space="0" w:color="auto"/>
      </w:divBdr>
      <w:divsChild>
        <w:div w:id="1000619293">
          <w:marLeft w:val="0"/>
          <w:marRight w:val="0"/>
          <w:marTop w:val="240"/>
          <w:marBottom w:val="0"/>
          <w:divBdr>
            <w:top w:val="none" w:sz="0" w:space="0" w:color="auto"/>
            <w:left w:val="none" w:sz="0" w:space="0" w:color="auto"/>
            <w:bottom w:val="none" w:sz="0" w:space="0" w:color="auto"/>
            <w:right w:val="none" w:sz="0" w:space="0" w:color="auto"/>
          </w:divBdr>
        </w:div>
        <w:div w:id="1829983128">
          <w:marLeft w:val="0"/>
          <w:marRight w:val="0"/>
          <w:marTop w:val="0"/>
          <w:marBottom w:val="0"/>
          <w:divBdr>
            <w:top w:val="single" w:sz="6" w:space="0" w:color="0000FF"/>
            <w:left w:val="single" w:sz="6" w:space="0" w:color="0000FF"/>
            <w:bottom w:val="single" w:sz="6" w:space="0" w:color="0000FF"/>
            <w:right w:val="single" w:sz="6" w:space="0" w:color="0000FF"/>
          </w:divBdr>
        </w:div>
      </w:divsChild>
    </w:div>
    <w:div w:id="2006783321">
      <w:bodyDiv w:val="1"/>
      <w:marLeft w:val="0"/>
      <w:marRight w:val="0"/>
      <w:marTop w:val="0"/>
      <w:marBottom w:val="0"/>
      <w:divBdr>
        <w:top w:val="none" w:sz="0" w:space="0" w:color="auto"/>
        <w:left w:val="none" w:sz="0" w:space="0" w:color="auto"/>
        <w:bottom w:val="none" w:sz="0" w:space="0" w:color="auto"/>
        <w:right w:val="none" w:sz="0" w:space="0" w:color="auto"/>
      </w:divBdr>
      <w:divsChild>
        <w:div w:id="784230403">
          <w:marLeft w:val="0"/>
          <w:marRight w:val="0"/>
          <w:marTop w:val="0"/>
          <w:marBottom w:val="0"/>
          <w:divBdr>
            <w:top w:val="single" w:sz="6" w:space="0" w:color="FFD700"/>
            <w:left w:val="single" w:sz="6" w:space="0" w:color="FFD700"/>
            <w:bottom w:val="single" w:sz="6" w:space="0" w:color="FFD700"/>
            <w:right w:val="single" w:sz="6" w:space="0" w:color="FFD700"/>
          </w:divBdr>
          <w:divsChild>
            <w:div w:id="2130736259">
              <w:marLeft w:val="0"/>
              <w:marRight w:val="0"/>
              <w:marTop w:val="0"/>
              <w:marBottom w:val="0"/>
              <w:divBdr>
                <w:top w:val="single" w:sz="6" w:space="0" w:color="0000FF"/>
                <w:left w:val="single" w:sz="6" w:space="0" w:color="0000FF"/>
                <w:bottom w:val="single" w:sz="6" w:space="0" w:color="0000FF"/>
                <w:right w:val="single" w:sz="6" w:space="0" w:color="0000FF"/>
              </w:divBdr>
            </w:div>
          </w:divsChild>
        </w:div>
        <w:div w:id="959608253">
          <w:marLeft w:val="192"/>
          <w:marRight w:val="12480"/>
          <w:marTop w:val="0"/>
          <w:marBottom w:val="0"/>
          <w:divBdr>
            <w:top w:val="single" w:sz="6" w:space="0" w:color="FFD700"/>
            <w:left w:val="single" w:sz="6" w:space="0" w:color="FFD700"/>
            <w:bottom w:val="single" w:sz="6" w:space="0" w:color="FFD700"/>
            <w:right w:val="single" w:sz="6" w:space="0" w:color="FFD700"/>
          </w:divBdr>
          <w:divsChild>
            <w:div w:id="187735518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2031485531">
      <w:bodyDiv w:val="1"/>
      <w:marLeft w:val="0"/>
      <w:marRight w:val="0"/>
      <w:marTop w:val="0"/>
      <w:marBottom w:val="0"/>
      <w:divBdr>
        <w:top w:val="none" w:sz="0" w:space="0" w:color="auto"/>
        <w:left w:val="none" w:sz="0" w:space="0" w:color="auto"/>
        <w:bottom w:val="none" w:sz="0" w:space="0" w:color="auto"/>
        <w:right w:val="none" w:sz="0" w:space="0" w:color="auto"/>
      </w:divBdr>
      <w:divsChild>
        <w:div w:id="134877009">
          <w:marLeft w:val="0"/>
          <w:marRight w:val="0"/>
          <w:marTop w:val="240"/>
          <w:marBottom w:val="0"/>
          <w:divBdr>
            <w:top w:val="none" w:sz="0" w:space="0" w:color="auto"/>
            <w:left w:val="none" w:sz="0" w:space="0" w:color="auto"/>
            <w:bottom w:val="none" w:sz="0" w:space="0" w:color="auto"/>
            <w:right w:val="none" w:sz="0" w:space="0" w:color="auto"/>
          </w:divBdr>
        </w:div>
        <w:div w:id="1153257397">
          <w:marLeft w:val="0"/>
          <w:marRight w:val="0"/>
          <w:marTop w:val="0"/>
          <w:marBottom w:val="0"/>
          <w:divBdr>
            <w:top w:val="single" w:sz="6" w:space="0" w:color="0000FF"/>
            <w:left w:val="single" w:sz="6" w:space="0" w:color="0000FF"/>
            <w:bottom w:val="single" w:sz="6" w:space="0" w:color="0000FF"/>
            <w:right w:val="single" w:sz="6" w:space="0" w:color="0000FF"/>
          </w:divBdr>
        </w:div>
      </w:divsChild>
    </w:div>
    <w:div w:id="2056657531">
      <w:bodyDiv w:val="1"/>
      <w:marLeft w:val="0"/>
      <w:marRight w:val="0"/>
      <w:marTop w:val="0"/>
      <w:marBottom w:val="0"/>
      <w:divBdr>
        <w:top w:val="none" w:sz="0" w:space="0" w:color="auto"/>
        <w:left w:val="none" w:sz="0" w:space="0" w:color="auto"/>
        <w:bottom w:val="none" w:sz="0" w:space="0" w:color="auto"/>
        <w:right w:val="none" w:sz="0" w:space="0" w:color="auto"/>
      </w:divBdr>
      <w:divsChild>
        <w:div w:id="904294756">
          <w:marLeft w:val="0"/>
          <w:marRight w:val="0"/>
          <w:marTop w:val="0"/>
          <w:marBottom w:val="0"/>
          <w:divBdr>
            <w:top w:val="single" w:sz="6" w:space="0" w:color="FFD700"/>
            <w:left w:val="single" w:sz="6" w:space="0" w:color="FFD700"/>
            <w:bottom w:val="single" w:sz="6" w:space="0" w:color="FFD700"/>
            <w:right w:val="single" w:sz="6" w:space="0" w:color="FFD700"/>
          </w:divBdr>
          <w:divsChild>
            <w:div w:id="1399863145">
              <w:marLeft w:val="0"/>
              <w:marRight w:val="0"/>
              <w:marTop w:val="0"/>
              <w:marBottom w:val="0"/>
              <w:divBdr>
                <w:top w:val="single" w:sz="6" w:space="0" w:color="0000FF"/>
                <w:left w:val="single" w:sz="6" w:space="0" w:color="0000FF"/>
                <w:bottom w:val="single" w:sz="6" w:space="0" w:color="0000FF"/>
                <w:right w:val="single" w:sz="6" w:space="0" w:color="0000FF"/>
              </w:divBdr>
            </w:div>
          </w:divsChild>
        </w:div>
        <w:div w:id="1889994369">
          <w:marLeft w:val="192"/>
          <w:marRight w:val="12480"/>
          <w:marTop w:val="0"/>
          <w:marBottom w:val="0"/>
          <w:divBdr>
            <w:top w:val="single" w:sz="6" w:space="0" w:color="FFD700"/>
            <w:left w:val="single" w:sz="6" w:space="0" w:color="FFD700"/>
            <w:bottom w:val="single" w:sz="6" w:space="0" w:color="FFD700"/>
            <w:right w:val="single" w:sz="6" w:space="0" w:color="FFD700"/>
          </w:divBdr>
          <w:divsChild>
            <w:div w:id="79603005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comptanat.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4888</Words>
  <Characters>26887</Characters>
  <Application>Microsoft Office Word</Application>
  <DocSecurity>0</DocSecurity>
  <Lines>224</Lines>
  <Paragraphs>63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 Malherbe</dc:creator>
  <cp:keywords/>
  <dc:description/>
  <cp:lastModifiedBy>Francis Malherbe</cp:lastModifiedBy>
  <cp:revision>7</cp:revision>
  <cp:lastPrinted>2020-10-13T09:27:00Z</cp:lastPrinted>
  <dcterms:created xsi:type="dcterms:W3CDTF">2020-10-14T12:04:00Z</dcterms:created>
  <dcterms:modified xsi:type="dcterms:W3CDTF">2020-10-14T13:47:00Z</dcterms:modified>
</cp:coreProperties>
</file>